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bCs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28"/>
          <w:szCs w:val="28"/>
          <w:lang w:val="en-US" w:eastAsia="zh-CN"/>
        </w:rPr>
        <w:t>附件：</w:t>
      </w:r>
    </w:p>
    <w:p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Cs/>
          <w:kern w:val="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2"/>
          <w:szCs w:val="32"/>
        </w:rPr>
        <w:t>年度部门整体支出绩效自评基础数据表</w:t>
      </w:r>
    </w:p>
    <w:bookmarkEnd w:id="0"/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lang w:eastAsia="zh-CN"/>
        </w:rPr>
        <w:t>单位名称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(盖章）: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隆回县七江镇人民政府</w:t>
      </w:r>
    </w:p>
    <w:tbl>
      <w:tblPr>
        <w:tblStyle w:val="10"/>
        <w:tblW w:w="92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1168"/>
        <w:gridCol w:w="2372"/>
        <w:gridCol w:w="605"/>
        <w:gridCol w:w="567"/>
        <w:gridCol w:w="992"/>
        <w:gridCol w:w="560"/>
        <w:gridCol w:w="7"/>
        <w:gridCol w:w="993"/>
        <w:gridCol w:w="494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exact"/>
          <w:jc w:val="center"/>
        </w:trPr>
        <w:tc>
          <w:tcPr>
            <w:tcW w:w="533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基本情况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编制人数</w:t>
            </w:r>
          </w:p>
        </w:tc>
        <w:tc>
          <w:tcPr>
            <w:tcW w:w="2977" w:type="dxa"/>
            <w:gridSpan w:val="2"/>
            <w:noWrap w:val="0"/>
            <w:vAlign w:val="top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113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ind w:firstLine="105" w:firstLineChars="50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实有人数</w:t>
            </w:r>
          </w:p>
        </w:tc>
        <w:tc>
          <w:tcPr>
            <w:tcW w:w="3029" w:type="dxa"/>
            <w:gridSpan w:val="5"/>
            <w:noWrap w:val="0"/>
            <w:vAlign w:val="top"/>
          </w:tcPr>
          <w:p>
            <w:pPr>
              <w:ind w:firstLine="105" w:firstLineChars="50"/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2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部门职能概述</w:t>
            </w:r>
          </w:p>
        </w:tc>
        <w:tc>
          <w:tcPr>
            <w:tcW w:w="7565" w:type="dxa"/>
            <w:gridSpan w:val="9"/>
            <w:noWrap w:val="0"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七江</w:t>
            </w:r>
            <w:r>
              <w:rPr>
                <w:rFonts w:hint="eastAsia" w:ascii="仿宋" w:hAnsi="仿宋" w:eastAsia="仿宋" w:cs="仿宋"/>
                <w:szCs w:val="21"/>
              </w:rPr>
              <w:t>镇人民政府机关及部门设机构如下：镇党委、人大、政府、政协、财政所，行政综合执法大队，社会事务服务中心，农业综合服务中心，政务服务中心，退役军人服务站。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2、</w:t>
            </w:r>
            <w:r>
              <w:rPr>
                <w:rFonts w:hint="eastAsia" w:ascii="仿宋" w:hAnsi="仿宋" w:eastAsia="仿宋" w:cs="仿宋"/>
                <w:szCs w:val="21"/>
              </w:rPr>
              <w:t>主要职能职责是：（一）宣传和贯彻执行党的路线方针政策和法律法规；（二）落实基层管党治党工作责任制；（三）规范经济管理，组织指导经济发展和经济结构调整；（四）加强社会管理和基础设施建设，创造良好环境。（五）抓好精神文明建设，丰富群众文化生活，提倡移风易俗，反对封建迷信，破除陈规陋习，树立社会主义新风尚。（六）加强综合治理，维护社会稳定。（七）按照管理权限，负责机关和事业单位工作人员的教育、培养、选拔和监督工作。协助管理好派驻单位人员。（八）依法依规承担下放的经济社会管理权限和行政执法事项。（九）完成县委、县政府交办的其它事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8" w:type="dxa"/>
            <w:vMerge w:val="restart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年度收入（万元）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县财政预算安排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2660.66</w:t>
            </w: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非税收入</w:t>
            </w:r>
          </w:p>
        </w:tc>
        <w:tc>
          <w:tcPr>
            <w:tcW w:w="1000" w:type="dxa"/>
            <w:gridSpan w:val="2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94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合计</w:t>
            </w:r>
          </w:p>
        </w:tc>
        <w:tc>
          <w:tcPr>
            <w:tcW w:w="975" w:type="dxa"/>
            <w:vMerge w:val="restart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2660.66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8" w:type="dxa"/>
            <w:vMerge w:val="continue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中央省市安排资金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55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其他收入</w:t>
            </w:r>
          </w:p>
        </w:tc>
        <w:tc>
          <w:tcPr>
            <w:tcW w:w="10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94" w:type="dxa"/>
            <w:vMerge w:val="continue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75" w:type="dxa"/>
            <w:vMerge w:val="continue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年度支出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（万元）</w:t>
            </w:r>
          </w:p>
        </w:tc>
        <w:tc>
          <w:tcPr>
            <w:tcW w:w="237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基本支出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1708.2</w:t>
            </w:r>
          </w:p>
        </w:tc>
        <w:tc>
          <w:tcPr>
            <w:tcW w:w="155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项目支出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952.46</w:t>
            </w:r>
          </w:p>
        </w:tc>
        <w:tc>
          <w:tcPr>
            <w:tcW w:w="4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合计</w:t>
            </w:r>
          </w:p>
        </w:tc>
        <w:tc>
          <w:tcPr>
            <w:tcW w:w="97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2660.66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372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其中三公经费支出</w:t>
            </w:r>
          </w:p>
        </w:tc>
        <w:tc>
          <w:tcPr>
            <w:tcW w:w="1172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13.68</w:t>
            </w:r>
          </w:p>
        </w:tc>
        <w:tc>
          <w:tcPr>
            <w:tcW w:w="1559" w:type="dxa"/>
            <w:gridSpan w:val="3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93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4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97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exact"/>
          <w:jc w:val="center"/>
        </w:trPr>
        <w:tc>
          <w:tcPr>
            <w:tcW w:w="533" w:type="dxa"/>
            <w:vMerge w:val="restart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实施情况</w:t>
            </w:r>
          </w:p>
        </w:tc>
        <w:tc>
          <w:tcPr>
            <w:tcW w:w="11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财政供养人员控制情况</w:t>
            </w:r>
          </w:p>
        </w:tc>
        <w:tc>
          <w:tcPr>
            <w:tcW w:w="7565" w:type="dxa"/>
            <w:gridSpan w:val="9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是否存在超编超配人员：   是□     否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三公经费管理情况</w:t>
            </w:r>
          </w:p>
        </w:tc>
        <w:tc>
          <w:tcPr>
            <w:tcW w:w="7565" w:type="dxa"/>
            <w:gridSpan w:val="9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是否制定“三公”经费管理办法：是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否□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招待费用是否明确招待标准和招待人数：是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否□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公务用车购置运行费是否比上年度下降: 是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否□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三公经费是否比年度下降：是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非税收入完成情况</w:t>
            </w:r>
          </w:p>
        </w:tc>
        <w:tc>
          <w:tcPr>
            <w:tcW w:w="7565" w:type="dxa"/>
            <w:gridSpan w:val="9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年度非税收入是否完成: 是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否□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是否实行收支两条线管理：是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否□</w:t>
            </w:r>
          </w:p>
          <w:p>
            <w:pPr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有无截留、坐支、转移等现象:有□     无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政府采购及金额</w:t>
            </w:r>
          </w:p>
        </w:tc>
        <w:tc>
          <w:tcPr>
            <w:tcW w:w="7565" w:type="dxa"/>
            <w:gridSpan w:val="9"/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 xml:space="preserve">年度是否制定了政府采购计划：是 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□否</w:t>
            </w:r>
          </w:p>
          <w:p>
            <w:pPr>
              <w:spacing w:line="36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应采购金额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8.77</w:t>
            </w:r>
            <w:r>
              <w:rPr>
                <w:rFonts w:hint="eastAsia" w:ascii="仿宋" w:hAnsi="仿宋" w:eastAsia="仿宋" w:cs="仿宋"/>
                <w:szCs w:val="21"/>
              </w:rPr>
              <w:t>万元，实际采购金额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8.77</w:t>
            </w:r>
            <w:r>
              <w:rPr>
                <w:rFonts w:hint="eastAsia" w:ascii="仿宋" w:hAnsi="仿宋" w:eastAsia="仿宋" w:cs="仿宋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0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预算执行</w:t>
            </w:r>
          </w:p>
        </w:tc>
        <w:tc>
          <w:tcPr>
            <w:tcW w:w="7565" w:type="dxa"/>
            <w:gridSpan w:val="9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本年度是否追加了预算:是□  否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Cs w:val="21"/>
              </w:rPr>
              <w:t>, 追加金额    万元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本年度是否有结余: 是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否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Cs w:val="21"/>
              </w:rPr>
              <w:t>,结余金额     万元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预决算信息是否公开: 是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否□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公开时间: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</w:rPr>
              <w:t>月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Cs w:val="21"/>
              </w:rPr>
              <w:t>日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公开方式:门户网站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 单位内部□      其它□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0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预算绩效管理</w:t>
            </w:r>
          </w:p>
        </w:tc>
        <w:tc>
          <w:tcPr>
            <w:tcW w:w="7565" w:type="dxa"/>
            <w:gridSpan w:val="9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部门预算和专项资金是否编制绩效目标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: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是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否□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是否开展绩效运行监控：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是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否□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是否开展绩效评价：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是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否□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年度绩效目标和绩效评价报告是否信息公开：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是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否□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上年度绩效评价反馈的问题是否整改到位：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是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否□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绩效监控发现的问题是否及时纠正：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是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 否□</w:t>
            </w:r>
          </w:p>
          <w:p>
            <w:pPr>
              <w:jc w:val="left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6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pacing w:line="240" w:lineRule="atLeas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财务管理</w:t>
            </w:r>
          </w:p>
        </w:tc>
        <w:tc>
          <w:tcPr>
            <w:tcW w:w="7565" w:type="dxa"/>
            <w:gridSpan w:val="9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会计机构</w:t>
            </w:r>
            <w:r>
              <w:rPr>
                <w:rFonts w:hint="eastAsia" w:ascii="仿宋" w:hAnsi="仿宋" w:eastAsia="仿宋" w:cs="仿宋"/>
                <w:lang w:eastAsia="zh-CN"/>
              </w:rPr>
              <w:t>或会计人员</w:t>
            </w:r>
            <w:r>
              <w:rPr>
                <w:rFonts w:hint="eastAsia" w:ascii="仿宋" w:hAnsi="仿宋" w:eastAsia="仿宋" w:cs="仿宋"/>
              </w:rPr>
              <w:t>是否按规定设置: 是</w:t>
            </w:r>
            <w:r>
              <w:rPr>
                <w:rFonts w:hint="eastAsia" w:ascii="仿宋" w:hAnsi="仿宋" w:eastAsia="仿宋" w:cs="仿宋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</w:rPr>
              <w:t>否□</w:t>
            </w: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会计核算是否严格执行政府会计制度准则：</w:t>
            </w:r>
            <w:r>
              <w:rPr>
                <w:rFonts w:hint="eastAsia" w:ascii="仿宋" w:hAnsi="仿宋" w:eastAsia="仿宋" w:cs="仿宋"/>
              </w:rPr>
              <w:t xml:space="preserve"> 是</w:t>
            </w:r>
            <w:r>
              <w:rPr>
                <w:rFonts w:hint="eastAsia" w:ascii="仿宋" w:hAnsi="仿宋" w:eastAsia="仿宋" w:cs="仿宋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</w:rPr>
              <w:t xml:space="preserve">    否□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是否制定财务管理、会计核算等制度: 是</w:t>
            </w:r>
            <w:r>
              <w:rPr>
                <w:rFonts w:hint="eastAsia" w:ascii="仿宋" w:hAnsi="仿宋" w:eastAsia="仿宋" w:cs="仿宋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</w:rPr>
              <w:t xml:space="preserve">  否□</w:t>
            </w:r>
          </w:p>
          <w:p>
            <w:pPr>
              <w:rPr>
                <w:rFonts w:hint="eastAsia" w:ascii="仿宋" w:hAnsi="仿宋" w:eastAsia="仿宋" w:cs="仿宋"/>
                <w:lang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内部控制报告编制是否规范：</w:t>
            </w:r>
            <w:r>
              <w:rPr>
                <w:rFonts w:hint="eastAsia" w:ascii="仿宋" w:hAnsi="仿宋" w:eastAsia="仿宋" w:cs="仿宋"/>
              </w:rPr>
              <w:t>是</w:t>
            </w:r>
            <w:r>
              <w:rPr>
                <w:rFonts w:hint="eastAsia" w:ascii="仿宋" w:hAnsi="仿宋" w:eastAsia="仿宋" w:cs="仿宋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</w:rPr>
              <w:t>否□</w:t>
            </w:r>
          </w:p>
          <w:p>
            <w:pPr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会计人员是否</w:t>
            </w:r>
            <w:r>
              <w:rPr>
                <w:rFonts w:hint="eastAsia" w:ascii="仿宋" w:hAnsi="仿宋" w:eastAsia="仿宋" w:cs="仿宋"/>
                <w:lang w:eastAsia="zh-CN"/>
              </w:rPr>
              <w:t>具备从事会计工作所需要的专业能力</w:t>
            </w:r>
            <w:r>
              <w:rPr>
                <w:rFonts w:hint="eastAsia" w:ascii="仿宋" w:hAnsi="仿宋" w:eastAsia="仿宋" w:cs="仿宋"/>
              </w:rPr>
              <w:t>: 是</w:t>
            </w:r>
            <w:r>
              <w:rPr>
                <w:rFonts w:hint="eastAsia" w:ascii="仿宋" w:hAnsi="仿宋" w:eastAsia="仿宋" w:cs="仿宋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</w:rPr>
              <w:t xml:space="preserve">  否□</w:t>
            </w:r>
          </w:p>
          <w:p>
            <w:pPr>
              <w:pStyle w:val="2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资金管理</w:t>
            </w:r>
          </w:p>
        </w:tc>
        <w:tc>
          <w:tcPr>
            <w:tcW w:w="7565" w:type="dxa"/>
            <w:gridSpan w:val="9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是否制定资金管理办法: 是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否□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资金拨付有完整的审批程序: 有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无□</w:t>
            </w:r>
          </w:p>
          <w:p>
            <w:pPr>
              <w:ind w:left="3885" w:hanging="3885" w:hangingChars="1850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资金使用是否存在违规使用资金、乱发津补贴奖金现象：是□  否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0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资产管理</w:t>
            </w:r>
          </w:p>
        </w:tc>
        <w:tc>
          <w:tcPr>
            <w:tcW w:w="7565" w:type="dxa"/>
            <w:gridSpan w:val="9"/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是否制定资产管理制度: 是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否□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资产管理、保存、处置是否合理规范: 是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否□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资产是否产权清晰、两证齐全：是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  否□</w:t>
            </w:r>
          </w:p>
          <w:p>
            <w:pPr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账、表、实、卡是否相符: 是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Cs w:val="21"/>
              </w:rPr>
              <w:t>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exact"/>
          <w:jc w:val="center"/>
        </w:trPr>
        <w:tc>
          <w:tcPr>
            <w:tcW w:w="533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1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职责履行</w:t>
            </w:r>
          </w:p>
        </w:tc>
        <w:tc>
          <w:tcPr>
            <w:tcW w:w="7565" w:type="dxa"/>
            <w:gridSpan w:val="9"/>
            <w:noWrap w:val="0"/>
            <w:vAlign w:val="top"/>
          </w:tcPr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重点工作是否全部完成且质量达标: 是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☑</w:t>
            </w:r>
            <w:r>
              <w:rPr>
                <w:rFonts w:hint="eastAsia" w:ascii="仿宋" w:hAnsi="仿宋" w:eastAsia="仿宋" w:cs="仿宋"/>
                <w:szCs w:val="21"/>
              </w:rPr>
              <w:t xml:space="preserve"> 否□</w:t>
            </w:r>
          </w:p>
          <w:p>
            <w:pPr>
              <w:spacing w:line="560" w:lineRule="exact"/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  <w:jc w:val="center"/>
        </w:trPr>
        <w:tc>
          <w:tcPr>
            <w:tcW w:w="5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部门</w:t>
            </w:r>
          </w:p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主要绩效</w:t>
            </w:r>
          </w:p>
        </w:tc>
        <w:tc>
          <w:tcPr>
            <w:tcW w:w="8733" w:type="dxa"/>
            <w:gridSpan w:val="10"/>
            <w:noWrap w:val="0"/>
            <w:vAlign w:val="center"/>
          </w:tcPr>
          <w:p>
            <w:pPr>
              <w:ind w:firstLine="105" w:firstLineChars="5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2022年</w:t>
            </w:r>
            <w:r>
              <w:rPr>
                <w:rFonts w:hint="eastAsia" w:ascii="仿宋" w:hAnsi="仿宋" w:eastAsia="仿宋" w:cs="仿宋"/>
                <w:szCs w:val="21"/>
              </w:rPr>
              <w:t>我镇积极履职，强化管理，较好的完成了年度工作目标。通过加强预算收支管理，不断建立健全内部管理制度，梳理内部管理流程，整体支出管理水平得到提升。主要表现在：1、加强农业经济组织建设。2、打造全县粮食生产标兵乡镇。3、建立长效机制，切实把科学发展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观</w:t>
            </w:r>
            <w:r>
              <w:rPr>
                <w:rFonts w:hint="eastAsia" w:ascii="仿宋" w:hAnsi="仿宋" w:eastAsia="仿宋" w:cs="仿宋"/>
                <w:szCs w:val="21"/>
              </w:rPr>
              <w:t>落到实处，收到实效。4、为全镇劳动就业人口素质和不断提高产生长期影响，社会保障体系不断完善；5、收支两条线管理，没有出现乱收滥罚，坐收坐支的现象。6、抓好教育、医疗、卫生事业和综合治理工作，打造“平安”乡镇，为群众生产生活创造良好的环境。7、认真落实惠农惠民政策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，着重抓好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乡村振兴、城乡环境卫生整治、防范与化解金融风险，统筹推进稳增长、促改革、调结构、惠民生、防风险、保稳定工作。增强人民群众获得感、幸福感、安全感，保持社会稳定和经济持续健康发展。</w:t>
            </w:r>
            <w:r>
              <w:rPr>
                <w:rFonts w:hint="eastAsia" w:ascii="仿宋" w:hAnsi="仿宋" w:eastAsia="仿宋" w:cs="仿宋"/>
                <w:szCs w:val="21"/>
              </w:rPr>
              <w:t>8、逐步提高群众满意度；提高群众优生优育意识。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5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自评结论</w:t>
            </w:r>
          </w:p>
        </w:tc>
        <w:tc>
          <w:tcPr>
            <w:tcW w:w="8733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7" w:hRule="atLeast"/>
          <w:jc w:val="center"/>
        </w:trPr>
        <w:tc>
          <w:tcPr>
            <w:tcW w:w="533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问题与建议</w:t>
            </w:r>
          </w:p>
        </w:tc>
        <w:tc>
          <w:tcPr>
            <w:tcW w:w="8733" w:type="dxa"/>
            <w:gridSpan w:val="10"/>
            <w:noWrap w:val="0"/>
            <w:vAlign w:val="center"/>
          </w:tcPr>
          <w:p>
            <w:pPr>
              <w:ind w:firstLine="105" w:firstLineChars="5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1、细化预算编制工作，认真做好预算的编制。进一步加强单位内部预算管理意识。</w:t>
            </w:r>
          </w:p>
          <w:p>
            <w:pPr>
              <w:ind w:firstLine="105" w:firstLineChars="5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2、加强财务管理，严格财务审核。加强单位财务管理，在费用报账支付时，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严格按预算使用资金</w:t>
            </w:r>
            <w:r>
              <w:rPr>
                <w:rFonts w:hint="eastAsia" w:ascii="仿宋" w:hAnsi="仿宋" w:eastAsia="仿宋" w:cs="仿宋"/>
                <w:szCs w:val="21"/>
              </w:rPr>
              <w:t>。</w:t>
            </w:r>
          </w:p>
          <w:p>
            <w:pPr>
              <w:ind w:firstLine="105" w:firstLineChars="50"/>
              <w:rPr>
                <w:rFonts w:hint="eastAsia" w:ascii="楷体" w:hAnsi="楷体" w:eastAsia="楷体" w:cs="楷体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3、完善资产管理，抓好“三公”经费控制。把关“三公”经费支出的审核、审批，杜绝挪用和挤占其他预算资金行为；合理压缩“三公”经费支出。</w:t>
            </w:r>
          </w:p>
          <w:p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33" w:type="dxa"/>
            <w:noWrap w:val="0"/>
            <w:vAlign w:val="top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主管部门意见</w:t>
            </w:r>
          </w:p>
        </w:tc>
        <w:tc>
          <w:tcPr>
            <w:tcW w:w="8733" w:type="dxa"/>
            <w:gridSpan w:val="10"/>
            <w:noWrap w:val="0"/>
            <w:vAlign w:val="top"/>
          </w:tcPr>
          <w:p>
            <w:pPr>
              <w:ind w:firstLine="3360" w:firstLineChars="160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ind w:firstLine="3360" w:firstLineChars="160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ind w:firstLine="3360" w:firstLineChars="160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ind w:firstLine="3360" w:firstLineChars="1600"/>
              <w:rPr>
                <w:rFonts w:hint="eastAsia" w:ascii="仿宋" w:hAnsi="仿宋" w:eastAsia="仿宋" w:cs="仿宋"/>
                <w:szCs w:val="21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firstLine="3360" w:firstLineChars="1600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主管部门（盖章）：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</w:rPr>
        <w:t>填报人：</w:t>
      </w:r>
      <w:r>
        <w:rPr>
          <w:rFonts w:hint="eastAsia" w:ascii="仿宋" w:hAnsi="仿宋" w:eastAsia="仿宋" w:cs="仿宋"/>
          <w:szCs w:val="21"/>
          <w:lang w:eastAsia="zh-CN"/>
        </w:rPr>
        <w:t>阳日平</w:t>
      </w:r>
      <w:r>
        <w:rPr>
          <w:rFonts w:hint="eastAsia" w:ascii="仿宋" w:hAnsi="仿宋" w:eastAsia="仿宋" w:cs="仿宋"/>
          <w:szCs w:val="21"/>
        </w:rPr>
        <w:t xml:space="preserve">                联系电话：</w:t>
      </w:r>
      <w:r>
        <w:rPr>
          <w:rFonts w:hint="eastAsia" w:ascii="仿宋" w:hAnsi="仿宋" w:eastAsia="仿宋" w:cs="仿宋"/>
          <w:szCs w:val="21"/>
          <w:lang w:val="en-US" w:eastAsia="zh-CN"/>
        </w:rPr>
        <w:t>15197906620</w:t>
      </w:r>
      <w:r>
        <w:rPr>
          <w:rFonts w:hint="eastAsia" w:ascii="仿宋" w:hAnsi="仿宋" w:eastAsia="仿宋" w:cs="仿宋"/>
          <w:szCs w:val="21"/>
        </w:rPr>
        <w:t xml:space="preserve">        时间：</w:t>
      </w:r>
      <w:r>
        <w:rPr>
          <w:rFonts w:hint="eastAsia" w:ascii="仿宋" w:hAnsi="仿宋" w:eastAsia="仿宋" w:cs="仿宋"/>
          <w:szCs w:val="21"/>
          <w:lang w:val="en-US" w:eastAsia="zh-CN"/>
        </w:rPr>
        <w:t>2023</w:t>
      </w:r>
      <w:r>
        <w:rPr>
          <w:rFonts w:hint="eastAsia" w:ascii="仿宋" w:hAnsi="仿宋" w:eastAsia="仿宋" w:cs="仿宋"/>
          <w:szCs w:val="21"/>
        </w:rPr>
        <w:t xml:space="preserve"> 年</w:t>
      </w:r>
      <w:r>
        <w:rPr>
          <w:rFonts w:hint="eastAsia" w:ascii="仿宋" w:hAnsi="仿宋" w:eastAsia="仿宋" w:cs="仿宋"/>
          <w:szCs w:val="21"/>
          <w:lang w:val="en-US" w:eastAsia="zh-CN"/>
        </w:rPr>
        <w:t>4</w:t>
      </w:r>
      <w:r>
        <w:rPr>
          <w:rFonts w:hint="eastAsia" w:ascii="仿宋" w:hAnsi="仿宋" w:eastAsia="仿宋" w:cs="仿宋"/>
          <w:szCs w:val="21"/>
        </w:rPr>
        <w:t>月</w:t>
      </w:r>
      <w:r>
        <w:rPr>
          <w:rFonts w:hint="eastAsia" w:ascii="仿宋" w:hAnsi="仿宋" w:eastAsia="仿宋" w:cs="仿宋"/>
          <w:szCs w:val="21"/>
          <w:lang w:val="en-US" w:eastAsia="zh-CN"/>
        </w:rPr>
        <w:t>28</w:t>
      </w:r>
      <w:r>
        <w:rPr>
          <w:rFonts w:hint="eastAsia" w:ascii="仿宋" w:hAnsi="仿宋" w:eastAsia="仿宋" w:cs="仿宋"/>
          <w:szCs w:val="21"/>
        </w:rPr>
        <w:t xml:space="preserve">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 w:cs="仿宋"/>
          <w:kern w:val="0"/>
        </w:rPr>
      </w:pPr>
      <w:r>
        <w:rPr>
          <w:rFonts w:hint="eastAsia" w:ascii="仿宋" w:hAnsi="仿宋" w:eastAsia="仿宋" w:cs="仿宋"/>
          <w:kern w:val="0"/>
        </w:rPr>
        <w:t>注：自评结论填“优、良、中、差”。</w:t>
      </w:r>
    </w:p>
    <w:p>
      <w:pPr>
        <w:pStyle w:val="2"/>
        <w:ind w:left="0" w:leftChars="0" w:firstLine="0" w:firstLineChars="0"/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footerReference r:id="rId5" w:type="even"/>
      <w:pgSz w:w="11905" w:h="16837"/>
      <w:pgMar w:top="1417" w:right="1588" w:bottom="1418" w:left="1588" w:header="720" w:footer="1701" w:gutter="0"/>
      <w:pgNumType w:fmt="numberInDash" w:start="1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jc w:val="right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fldChar w:fldCharType="end"/>
    </w:r>
  </w:p>
  <w:p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ODY0ODNkMzJhM2NlYWYwYWI3YTg1ZGZmNmI3YmUifQ=="/>
  </w:docVars>
  <w:rsids>
    <w:rsidRoot w:val="00172A27"/>
    <w:rsid w:val="00A2611C"/>
    <w:rsid w:val="015357F8"/>
    <w:rsid w:val="01600BAC"/>
    <w:rsid w:val="018E17F6"/>
    <w:rsid w:val="01E50D53"/>
    <w:rsid w:val="01EB6738"/>
    <w:rsid w:val="025C4348"/>
    <w:rsid w:val="030906F7"/>
    <w:rsid w:val="03B40C48"/>
    <w:rsid w:val="03D2624F"/>
    <w:rsid w:val="040501C3"/>
    <w:rsid w:val="05323055"/>
    <w:rsid w:val="05E337FC"/>
    <w:rsid w:val="06536294"/>
    <w:rsid w:val="07155C37"/>
    <w:rsid w:val="09D347BB"/>
    <w:rsid w:val="0A6273E5"/>
    <w:rsid w:val="0A686BF6"/>
    <w:rsid w:val="0BE43E2A"/>
    <w:rsid w:val="0C3D037F"/>
    <w:rsid w:val="0C760F26"/>
    <w:rsid w:val="0DD74424"/>
    <w:rsid w:val="0FAF3867"/>
    <w:rsid w:val="107F4121"/>
    <w:rsid w:val="10C57C4D"/>
    <w:rsid w:val="11456604"/>
    <w:rsid w:val="117C2E73"/>
    <w:rsid w:val="11E9622E"/>
    <w:rsid w:val="12607728"/>
    <w:rsid w:val="126104A5"/>
    <w:rsid w:val="13113C31"/>
    <w:rsid w:val="13C57FC2"/>
    <w:rsid w:val="13DD7ADC"/>
    <w:rsid w:val="13EB2DF0"/>
    <w:rsid w:val="14226FC4"/>
    <w:rsid w:val="144F5156"/>
    <w:rsid w:val="1767588B"/>
    <w:rsid w:val="178776E9"/>
    <w:rsid w:val="18566E61"/>
    <w:rsid w:val="18D538B0"/>
    <w:rsid w:val="18E032C2"/>
    <w:rsid w:val="19A277FE"/>
    <w:rsid w:val="1AC60FA3"/>
    <w:rsid w:val="1CCF110C"/>
    <w:rsid w:val="1D9456B0"/>
    <w:rsid w:val="1FA31533"/>
    <w:rsid w:val="208E0196"/>
    <w:rsid w:val="213827F6"/>
    <w:rsid w:val="21796BC2"/>
    <w:rsid w:val="21B552CB"/>
    <w:rsid w:val="22BE0E76"/>
    <w:rsid w:val="23250B58"/>
    <w:rsid w:val="245843EA"/>
    <w:rsid w:val="2483632E"/>
    <w:rsid w:val="25550C1E"/>
    <w:rsid w:val="25B05D49"/>
    <w:rsid w:val="28BF4190"/>
    <w:rsid w:val="2A706BB3"/>
    <w:rsid w:val="2A7C719C"/>
    <w:rsid w:val="2B926A7E"/>
    <w:rsid w:val="2C2B5641"/>
    <w:rsid w:val="2CB6067E"/>
    <w:rsid w:val="2CC66F08"/>
    <w:rsid w:val="2CCA094F"/>
    <w:rsid w:val="2CDB7C5A"/>
    <w:rsid w:val="2E2B5E45"/>
    <w:rsid w:val="2E515D05"/>
    <w:rsid w:val="2EB776F0"/>
    <w:rsid w:val="2FC02FA6"/>
    <w:rsid w:val="2FEE35F9"/>
    <w:rsid w:val="2FF745A3"/>
    <w:rsid w:val="316450AF"/>
    <w:rsid w:val="335115F0"/>
    <w:rsid w:val="3546366F"/>
    <w:rsid w:val="357070B5"/>
    <w:rsid w:val="376A3C4C"/>
    <w:rsid w:val="382447F7"/>
    <w:rsid w:val="38352061"/>
    <w:rsid w:val="38FC7F68"/>
    <w:rsid w:val="39C175C6"/>
    <w:rsid w:val="3A5329E2"/>
    <w:rsid w:val="3A754CC9"/>
    <w:rsid w:val="3BEA370A"/>
    <w:rsid w:val="3DCE3E6E"/>
    <w:rsid w:val="3E3A69A0"/>
    <w:rsid w:val="3ECD3124"/>
    <w:rsid w:val="3F2C52F0"/>
    <w:rsid w:val="3F9A003D"/>
    <w:rsid w:val="3FEA0343"/>
    <w:rsid w:val="45707244"/>
    <w:rsid w:val="475F4422"/>
    <w:rsid w:val="47AC789F"/>
    <w:rsid w:val="4874505C"/>
    <w:rsid w:val="49136AFE"/>
    <w:rsid w:val="49201968"/>
    <w:rsid w:val="49F977A4"/>
    <w:rsid w:val="4AED3052"/>
    <w:rsid w:val="4B6814D6"/>
    <w:rsid w:val="4B702839"/>
    <w:rsid w:val="4BB905DA"/>
    <w:rsid w:val="4C0E1EFB"/>
    <w:rsid w:val="4D6D36A4"/>
    <w:rsid w:val="4E0B709E"/>
    <w:rsid w:val="4EC56C04"/>
    <w:rsid w:val="4F1638C7"/>
    <w:rsid w:val="5039786D"/>
    <w:rsid w:val="507C62DD"/>
    <w:rsid w:val="50B20CEB"/>
    <w:rsid w:val="50BE3824"/>
    <w:rsid w:val="537A08DB"/>
    <w:rsid w:val="55FE57CA"/>
    <w:rsid w:val="563C6D66"/>
    <w:rsid w:val="565C4B5A"/>
    <w:rsid w:val="56806856"/>
    <w:rsid w:val="572D004A"/>
    <w:rsid w:val="578E37A1"/>
    <w:rsid w:val="58C76ABA"/>
    <w:rsid w:val="58DE0D3F"/>
    <w:rsid w:val="592230B8"/>
    <w:rsid w:val="59CA59DA"/>
    <w:rsid w:val="5CEC4DE4"/>
    <w:rsid w:val="5D213E13"/>
    <w:rsid w:val="5D6C7344"/>
    <w:rsid w:val="5EA551F5"/>
    <w:rsid w:val="61AF2FE3"/>
    <w:rsid w:val="62F810E9"/>
    <w:rsid w:val="63521D29"/>
    <w:rsid w:val="635B32B1"/>
    <w:rsid w:val="63AD5DD7"/>
    <w:rsid w:val="64CD45D0"/>
    <w:rsid w:val="65B574C0"/>
    <w:rsid w:val="65B75B1D"/>
    <w:rsid w:val="65ED7F30"/>
    <w:rsid w:val="670B01C0"/>
    <w:rsid w:val="68045877"/>
    <w:rsid w:val="6949655D"/>
    <w:rsid w:val="6A1D12CB"/>
    <w:rsid w:val="6A522671"/>
    <w:rsid w:val="6ACB22C2"/>
    <w:rsid w:val="6C3C39CA"/>
    <w:rsid w:val="6C6A0E2B"/>
    <w:rsid w:val="6C801864"/>
    <w:rsid w:val="6E615BFD"/>
    <w:rsid w:val="6FB839EA"/>
    <w:rsid w:val="70587444"/>
    <w:rsid w:val="745037BC"/>
    <w:rsid w:val="75B202C3"/>
    <w:rsid w:val="767C2482"/>
    <w:rsid w:val="78270946"/>
    <w:rsid w:val="784F7ECA"/>
    <w:rsid w:val="78853E63"/>
    <w:rsid w:val="79367029"/>
    <w:rsid w:val="7A031D57"/>
    <w:rsid w:val="7A3613CA"/>
    <w:rsid w:val="7B3D3D71"/>
    <w:rsid w:val="7D2A54B9"/>
    <w:rsid w:val="7D887789"/>
    <w:rsid w:val="7E7434D8"/>
    <w:rsid w:val="7FA61257"/>
    <w:rsid w:val="7FBC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sz w:val="32"/>
    </w:rPr>
  </w:style>
  <w:style w:type="paragraph" w:styleId="4">
    <w:name w:val="Body Text"/>
    <w:basedOn w:val="1"/>
    <w:next w:val="5"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5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paragraph" w:customStyle="1" w:styleId="14">
    <w:name w:val="BodyText1I2"/>
    <w:basedOn w:val="15"/>
    <w:qFormat/>
    <w:uiPriority w:val="99"/>
    <w:pPr>
      <w:widowControl/>
      <w:ind w:left="840" w:firstLine="3748" w:firstLineChars="200"/>
    </w:pPr>
    <w:rPr>
      <w:rFonts w:ascii="宋体" w:hAnsi="宋体" w:eastAsia="Malgun Gothic" w:cs="Times New Roman"/>
      <w:kern w:val="0"/>
      <w:sz w:val="20"/>
      <w:szCs w:val="20"/>
    </w:rPr>
  </w:style>
  <w:style w:type="paragraph" w:customStyle="1" w:styleId="15">
    <w:name w:val="BodyTextIndent"/>
    <w:basedOn w:val="1"/>
    <w:qFormat/>
    <w:uiPriority w:val="99"/>
    <w:pPr>
      <w:ind w:firstLine="640" w:firstLineChars="200"/>
    </w:pPr>
    <w:rPr>
      <w:rFonts w:eastAsia="仿宋_GB2312"/>
      <w:kern w:val="0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4895</Words>
  <Characters>5179</Characters>
  <Lines>1</Lines>
  <Paragraphs>1</Paragraphs>
  <TotalTime>42</TotalTime>
  <ScaleCrop>false</ScaleCrop>
  <LinksUpToDate>false</LinksUpToDate>
  <CharactersWithSpaces>5382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2021-04-19T07:48:00Z</dcterms:created>
  <dc:creator>彭礼孝</dc:creator>
  <cp:lastModifiedBy>Zhyoo</cp:lastModifiedBy>
  <cp:lastPrinted>2023-04-25T06:46:00Z</cp:lastPrinted>
  <dcterms:modified xsi:type="dcterms:W3CDTF">2023-05-19T03:37:02Z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A3CE7F85CD464ACA86D957C567BBAF59_13</vt:lpwstr>
  </property>
</Properties>
</file>