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0"/>
        <w:jc w:val="center"/>
        <w:rPr>
          <w:rFonts w:ascii="微软雅黑" w:hAnsi="微软雅黑" w:eastAsia="微软雅黑" w:cs="微软雅黑"/>
          <w:i w:val="0"/>
          <w:iCs w:val="0"/>
          <w:caps w:val="0"/>
          <w:color w:val="232323"/>
          <w:spacing w:val="0"/>
          <w:sz w:val="21"/>
          <w:szCs w:val="21"/>
        </w:rPr>
      </w:pPr>
      <w:bookmarkStart w:id="16" w:name="_GoBack"/>
      <w:r>
        <w:rPr>
          <w:rFonts w:ascii="黑体" w:hAnsi="宋体" w:eastAsia="黑体" w:cs="黑体"/>
          <w:i w:val="0"/>
          <w:iCs w:val="0"/>
          <w:caps w:val="0"/>
          <w:color w:val="232323"/>
          <w:spacing w:val="0"/>
          <w:kern w:val="0"/>
          <w:sz w:val="36"/>
          <w:szCs w:val="36"/>
          <w:bdr w:val="none" w:color="auto" w:sz="0" w:space="0"/>
          <w:shd w:val="clear" w:fill="FFFFFF"/>
          <w:lang w:val="en-US" w:eastAsia="zh-CN" w:bidi="ar"/>
        </w:rPr>
        <w:t>隆回县民政局</w:t>
      </w:r>
      <w:r>
        <w:rPr>
          <w:rFonts w:hint="eastAsia" w:ascii="黑体" w:hAnsi="宋体" w:eastAsia="黑体" w:cs="黑体"/>
          <w:i w:val="0"/>
          <w:iCs w:val="0"/>
          <w:caps w:val="0"/>
          <w:color w:val="232323"/>
          <w:spacing w:val="0"/>
          <w:kern w:val="0"/>
          <w:sz w:val="36"/>
          <w:szCs w:val="36"/>
          <w:bdr w:val="none" w:color="auto" w:sz="0" w:space="0"/>
          <w:shd w:val="clear" w:fill="FFFFFF"/>
          <w:lang w:val="en-US" w:eastAsia="zh-CN" w:bidi="ar"/>
        </w:rPr>
        <w:t>2021年度部门整体支出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0"/>
        <w:jc w:val="center"/>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i w:val="0"/>
          <w:iCs w:val="0"/>
          <w:caps w:val="0"/>
          <w:color w:val="232323"/>
          <w:spacing w:val="0"/>
          <w:kern w:val="0"/>
          <w:sz w:val="36"/>
          <w:szCs w:val="36"/>
          <w:bdr w:val="none" w:color="auto" w:sz="0" w:space="0"/>
          <w:shd w:val="clear" w:fill="FFFFFF"/>
          <w:lang w:val="en-US" w:eastAsia="zh-CN" w:bidi="ar"/>
        </w:rPr>
        <w:t>绩效评价报告</w:t>
      </w:r>
      <w:bookmarkEnd w:id="16"/>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一、部门概况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(一) 部门基本情况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隆回县民政局</w:t>
      </w:r>
      <w:bookmarkStart w:id="0" w:name="_Hlk105919296"/>
      <w:r>
        <w:rPr>
          <w:rFonts w:hint="eastAsia" w:ascii="宋体" w:hAnsi="宋体" w:eastAsia="宋体" w:cs="宋体"/>
          <w:i w:val="0"/>
          <w:iCs w:val="0"/>
          <w:caps w:val="0"/>
          <w:color w:val="232323"/>
          <w:spacing w:val="0"/>
          <w:kern w:val="0"/>
          <w:sz w:val="28"/>
          <w:szCs w:val="28"/>
          <w:u w:val="none"/>
          <w:bdr w:val="none" w:color="auto" w:sz="0" w:space="0"/>
          <w:shd w:val="clear" w:fill="FFFFFF"/>
          <w:lang w:val="en-US" w:eastAsia="zh-CN" w:bidi="ar"/>
        </w:rPr>
        <w:t>隶属隆回县人民政府组成局，为正科级行政机关。隆办发〔</w:t>
      </w:r>
      <w:bookmarkEnd w:id="0"/>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2019</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80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号文件核定县民政局机关行政编制</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名，机关后勤服务人员</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名，内设办公室、政工股、规划财务股等</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8</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个股室。县编办、县人社局核定县民政局下设低收入家庭认定中心</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副科</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等</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5</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个二级事业编制单位，编制</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人。民政局内部增设婚姻登记中心和儿童福利院</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个办事机构</w:t>
      </w:r>
      <w:bookmarkStart w:id="1" w:name="_Hlk107216587"/>
      <w:r>
        <w:rPr>
          <w:rFonts w:hint="eastAsia" w:ascii="宋体" w:hAnsi="宋体" w:eastAsia="宋体" w:cs="宋体"/>
          <w:i w:val="0"/>
          <w:iCs w:val="0"/>
          <w:caps w:val="0"/>
          <w:color w:val="232323"/>
          <w:spacing w:val="0"/>
          <w:kern w:val="0"/>
          <w:sz w:val="28"/>
          <w:szCs w:val="28"/>
          <w:u w:val="none"/>
          <w:bdr w:val="none" w:color="auto" w:sz="0" w:space="0"/>
          <w:shd w:val="clear" w:fill="FFFFFF"/>
          <w:lang w:val="en-US" w:eastAsia="zh-CN" w:bidi="ar"/>
        </w:rPr>
        <w:t>。</w:t>
      </w:r>
      <w:r>
        <w:rPr>
          <w:rFonts w:hint="default" w:ascii="Times New Roman" w:hAnsi="Times New Roman" w:eastAsia="宋体" w:cs="Times New Roman"/>
          <w:i w:val="0"/>
          <w:iCs w:val="0"/>
          <w:caps w:val="0"/>
          <w:color w:val="232323"/>
          <w:spacing w:val="0"/>
          <w:kern w:val="0"/>
          <w:sz w:val="28"/>
          <w:szCs w:val="28"/>
          <w:u w:val="none"/>
          <w:bdr w:val="none" w:color="auto" w:sz="0" w:space="0"/>
          <w:shd w:val="clear" w:fill="FFFFFF"/>
          <w:lang w:val="en-US" w:eastAsia="zh-CN" w:bidi="ar"/>
        </w:rPr>
        <w:t>2</w:t>
      </w:r>
      <w:bookmarkEnd w:id="1"/>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年度末县民政局整体实际在职在岗干部职工</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79</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人，其中：行政机关在岗</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8</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人，机关工勤人员</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人，其他事业编制在岗</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6</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人。县民政局的主要职责是，负责社会救助、城乡最低生活保障等</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13</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大类民政业务工作和干部队伍建设等任务。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（二）部门年度预算收支结余情况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bookmarkStart w:id="2" w:name="_Hlk106790073"/>
      <w:bookmarkEnd w:id="2"/>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隆回县民政局2021年度：①预算总收入</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1239.92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万元；②调整预算增加收入</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14399.18</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万元，调整后预算收入</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15639.10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万元；③全年支出合计数为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18935.51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万元，其中：基本支出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1805.50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万元，项目支出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17130.01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万元；④年初结转和结余 </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3704.94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万元，年末结转和结余为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408.53</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隆回县民政局2021年度：①部门预算执行率 97.89%；②部门预算调整率93.60%，调整原因是民政局的项目支出都是非县本级财政预算，全部未纳入预算范围；③结余结转率2.11%；④公用经费控制率372.56%，主要原因是留守儿童关爱和保护经费本年增加支出158.32万元；⑤</w:t>
      </w:r>
      <w:bookmarkStart w:id="3" w:name="_Hlk107222535"/>
      <w:bookmarkEnd w:id="3"/>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三公经费实际使用比预算减少70%；⑥政府采购执行率231%。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二、部门整体支出管理及使用情况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80" w:right="0" w:firstLine="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（一）基本支出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2021年度基本支出总额1805.50万元，其中工资福利支出</w:t>
      </w:r>
      <w:bookmarkStart w:id="4" w:name="_Hlk110843166"/>
      <w:r>
        <w:rPr>
          <w:rFonts w:hint="eastAsia" w:ascii="宋体" w:hAnsi="宋体" w:eastAsia="宋体" w:cs="宋体"/>
          <w:i w:val="0"/>
          <w:iCs w:val="0"/>
          <w:caps w:val="0"/>
          <w:color w:val="232323"/>
          <w:spacing w:val="0"/>
          <w:kern w:val="0"/>
          <w:sz w:val="28"/>
          <w:szCs w:val="28"/>
          <w:u w:val="none"/>
          <w:bdr w:val="none" w:color="auto" w:sz="0" w:space="0"/>
          <w:shd w:val="clear" w:fill="FFFFFF"/>
          <w:lang w:val="en-US" w:eastAsia="zh-CN" w:bidi="ar"/>
        </w:rPr>
        <w:t>1123.9</w:t>
      </w:r>
      <w:bookmarkEnd w:id="4"/>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7万元，商品和服务支出471.81万元，对个人和家庭的补助支出185.59万元，资本性支出24.13万元（办公设备购置费）。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工资福利支出1123.97万元，包括基本工资295.56万元、津贴补贴178.84万元、奖金141.09万元、伙食补助费43.09万元、绩效工资218.38万元、基本养老保险、住房公积金等福利支出247.01万元；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商品和服务支出471.81万元，包括办公费49.79万元、差旅费78.31万元、委托业务费51.23万元、其他交通费62.59万元、其他商品和服务支出、物业费、维修费等；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对个人和家族的补助支出185.59万元，包括生活补助130.55万元、医疗费补助25.91万元、救济费27.44万元及其他补助；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全年三公经费支出数为5.7万元。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基本支出及三公经费管理情况：县民政局制订了《财务管理制度》并在县民政系统公开公布，文件明确规定了审批权限、费用支出标准、政府采购等内容。根据抽查的情况，基本支出资金的使用按照财务管理制度执行，三公经费纳入</w:t>
      </w:r>
      <w:bookmarkStart w:id="5" w:name="_Hlk110843533"/>
      <w:r>
        <w:rPr>
          <w:rFonts w:hint="eastAsia" w:ascii="宋体" w:hAnsi="宋体" w:eastAsia="宋体" w:cs="宋体"/>
          <w:i w:val="0"/>
          <w:iCs w:val="0"/>
          <w:caps w:val="0"/>
          <w:color w:val="232323"/>
          <w:spacing w:val="0"/>
          <w:kern w:val="0"/>
          <w:sz w:val="28"/>
          <w:szCs w:val="28"/>
          <w:u w:val="none"/>
          <w:bdr w:val="none" w:color="auto" w:sz="0" w:space="0"/>
          <w:shd w:val="clear" w:fill="FFFFFF"/>
          <w:lang w:val="en-US" w:eastAsia="zh-CN" w:bidi="ar"/>
        </w:rPr>
        <w:t>“互联网+”监督系统</w:t>
      </w:r>
      <w:bookmarkEnd w:id="5"/>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，接待费一律凭公函或检查通知接待，严格控制接待用餐标准及陪同人数。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80" w:right="0" w:firstLine="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（二）项目支出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年全年项目支出总额</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17130.01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万元，其中商品与服务支出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344.65</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万元，对个人和家族的补助</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16596.33</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万元，资本化支出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89.83</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万元，对企业补助</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99.20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全年项目支出按科目分类：社会福利支出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1653.76</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万元，包括儿童、老年、殡葬及其他福利；残疾人事业支出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1843.47</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万元；最低生活保障 </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8572.19</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万元；临时救助</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1774.20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万元；特困人员救助供养</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2687.80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万元；其他生活救助</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12.43</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万元；其他社会保障和就业支出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217.05</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万元；其他支出主要是用于社会福利的彩票公益金支出儿童之家</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369.10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项目支出管理情况：根据抽查情况，抽查的项目支出全部纳入“互联网+”监督系统，网络流程规范，支付及时，能执行民政局财务管理制度的相关规定，大额支出严格相关财务管理政策与文件要求，经局党组会民主讨论研究决定，但没有严格执行专款专管、专款专用的财政政策，存在专款他用现象，没有严格按财政管理制度要求，强化项目专款支出的使用效率与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sz w:val="28"/>
          <w:szCs w:val="28"/>
          <w:bdr w:val="none" w:color="auto" w:sz="0" w:space="0"/>
          <w:shd w:val="clear" w:fill="FFFFFF"/>
        </w:rPr>
        <w:t>三、评价过程与结果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sz w:val="28"/>
          <w:szCs w:val="28"/>
          <w:bdr w:val="none" w:color="auto" w:sz="0" w:space="0"/>
          <w:shd w:val="clear" w:fill="FFFFFF"/>
        </w:rPr>
        <w:t>（一）评价过程</w:t>
      </w:r>
      <w:r>
        <w:rPr>
          <w:rFonts w:hint="eastAsia" w:ascii="宋体" w:hAnsi="宋体" w:eastAsia="宋体" w:cs="宋体"/>
          <w:i w:val="0"/>
          <w:iCs w:val="0"/>
          <w:caps w:val="0"/>
          <w:color w:val="23232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sz w:val="28"/>
          <w:szCs w:val="28"/>
          <w:bdr w:val="none" w:color="auto" w:sz="0" w:space="0"/>
          <w:shd w:val="clear" w:fill="FFFFFF"/>
        </w:rPr>
        <w:t>按照隆财绩（</w:t>
      </w:r>
      <w:r>
        <w:rPr>
          <w:rFonts w:hint="default" w:ascii="Times New Roman" w:hAnsi="Times New Roman" w:eastAsia="宋体" w:cs="Times New Roman"/>
          <w:i w:val="0"/>
          <w:iCs w:val="0"/>
          <w:caps w:val="0"/>
          <w:color w:val="232323"/>
          <w:spacing w:val="0"/>
          <w:sz w:val="28"/>
          <w:szCs w:val="28"/>
          <w:bdr w:val="none" w:color="auto" w:sz="0" w:space="0"/>
          <w:shd w:val="clear" w:fill="FFFFFF"/>
        </w:rPr>
        <w:t>2022</w:t>
      </w:r>
      <w:r>
        <w:rPr>
          <w:rFonts w:hint="eastAsia" w:ascii="宋体" w:hAnsi="宋体" w:eastAsia="宋体" w:cs="宋体"/>
          <w:i w:val="0"/>
          <w:iCs w:val="0"/>
          <w:caps w:val="0"/>
          <w:color w:val="232323"/>
          <w:spacing w:val="0"/>
          <w:sz w:val="28"/>
          <w:szCs w:val="28"/>
          <w:bdr w:val="none" w:color="auto" w:sz="0" w:space="0"/>
          <w:shd w:val="clear" w:fill="FFFFFF"/>
        </w:rPr>
        <w:t>）</w:t>
      </w:r>
      <w:r>
        <w:rPr>
          <w:rFonts w:hint="default" w:ascii="Times New Roman" w:hAnsi="Times New Roman" w:eastAsia="宋体" w:cs="Times New Roman"/>
          <w:i w:val="0"/>
          <w:iCs w:val="0"/>
          <w:caps w:val="0"/>
          <w:color w:val="232323"/>
          <w:spacing w:val="0"/>
          <w:sz w:val="28"/>
          <w:szCs w:val="28"/>
          <w:bdr w:val="none" w:color="auto" w:sz="0" w:space="0"/>
          <w:shd w:val="clear" w:fill="FFFFFF"/>
        </w:rPr>
        <w:t>3</w:t>
      </w:r>
      <w:r>
        <w:rPr>
          <w:rFonts w:hint="eastAsia" w:ascii="宋体" w:hAnsi="宋体" w:eastAsia="宋体" w:cs="宋体"/>
          <w:i w:val="0"/>
          <w:iCs w:val="0"/>
          <w:caps w:val="0"/>
          <w:color w:val="232323"/>
          <w:spacing w:val="0"/>
          <w:sz w:val="28"/>
          <w:szCs w:val="28"/>
          <w:bdr w:val="none" w:color="auto" w:sz="0" w:space="0"/>
          <w:shd w:val="clear" w:fill="FFFFFF"/>
        </w:rPr>
        <w:t>号文件通知要求，湖南力信会计师事务所成立绩效评价工作小组，于</w:t>
      </w:r>
      <w:r>
        <w:rPr>
          <w:rFonts w:hint="default" w:ascii="Times New Roman" w:hAnsi="Times New Roman" w:eastAsia="宋体" w:cs="Times New Roman"/>
          <w:i w:val="0"/>
          <w:iCs w:val="0"/>
          <w:caps w:val="0"/>
          <w:color w:val="232323"/>
          <w:spacing w:val="0"/>
          <w:sz w:val="28"/>
          <w:szCs w:val="28"/>
          <w:bdr w:val="none" w:color="auto" w:sz="0" w:space="0"/>
          <w:shd w:val="clear" w:fill="FFFFFF"/>
        </w:rPr>
        <w:t>2022</w:t>
      </w:r>
      <w:r>
        <w:rPr>
          <w:rFonts w:hint="eastAsia" w:ascii="宋体" w:hAnsi="宋体" w:eastAsia="宋体" w:cs="宋体"/>
          <w:i w:val="0"/>
          <w:iCs w:val="0"/>
          <w:caps w:val="0"/>
          <w:color w:val="232323"/>
          <w:spacing w:val="0"/>
          <w:sz w:val="28"/>
          <w:szCs w:val="28"/>
          <w:bdr w:val="none" w:color="auto" w:sz="0" w:space="0"/>
          <w:shd w:val="clear" w:fill="FFFFFF"/>
        </w:rPr>
        <w:t>年</w:t>
      </w:r>
      <w:r>
        <w:rPr>
          <w:rFonts w:hint="default" w:ascii="Times New Roman" w:hAnsi="Times New Roman" w:eastAsia="宋体" w:cs="Times New Roman"/>
          <w:i w:val="0"/>
          <w:iCs w:val="0"/>
          <w:caps w:val="0"/>
          <w:color w:val="232323"/>
          <w:spacing w:val="0"/>
          <w:sz w:val="28"/>
          <w:szCs w:val="28"/>
          <w:bdr w:val="none" w:color="auto" w:sz="0" w:space="0"/>
          <w:shd w:val="clear" w:fill="FFFFFF"/>
        </w:rPr>
        <w:t>6</w:t>
      </w:r>
      <w:r>
        <w:rPr>
          <w:rFonts w:hint="eastAsia" w:ascii="宋体" w:hAnsi="宋体" w:eastAsia="宋体" w:cs="宋体"/>
          <w:i w:val="0"/>
          <w:iCs w:val="0"/>
          <w:caps w:val="0"/>
          <w:color w:val="232323"/>
          <w:spacing w:val="0"/>
          <w:sz w:val="28"/>
          <w:szCs w:val="28"/>
          <w:bdr w:val="none" w:color="auto" w:sz="0" w:space="0"/>
          <w:shd w:val="clear" w:fill="FFFFFF"/>
        </w:rPr>
        <w:t>月</w:t>
      </w:r>
      <w:r>
        <w:rPr>
          <w:rFonts w:hint="default" w:ascii="Times New Roman" w:hAnsi="Times New Roman" w:eastAsia="宋体" w:cs="Times New Roman"/>
          <w:i w:val="0"/>
          <w:iCs w:val="0"/>
          <w:caps w:val="0"/>
          <w:color w:val="232323"/>
          <w:spacing w:val="0"/>
          <w:sz w:val="28"/>
          <w:szCs w:val="28"/>
          <w:bdr w:val="none" w:color="auto" w:sz="0" w:space="0"/>
          <w:shd w:val="clear" w:fill="FFFFFF"/>
        </w:rPr>
        <w:t>1</w:t>
      </w:r>
      <w:r>
        <w:rPr>
          <w:rFonts w:hint="eastAsia" w:ascii="宋体" w:hAnsi="宋体" w:eastAsia="宋体" w:cs="宋体"/>
          <w:i w:val="0"/>
          <w:iCs w:val="0"/>
          <w:caps w:val="0"/>
          <w:color w:val="232323"/>
          <w:spacing w:val="0"/>
          <w:sz w:val="28"/>
          <w:szCs w:val="28"/>
          <w:bdr w:val="none" w:color="auto" w:sz="0" w:space="0"/>
          <w:shd w:val="clear" w:fill="FFFFFF"/>
        </w:rPr>
        <w:t>日</w:t>
      </w:r>
      <w:r>
        <w:rPr>
          <w:rFonts w:hint="default" w:ascii="Times New Roman" w:hAnsi="Times New Roman" w:eastAsia="宋体" w:cs="Times New Roman"/>
          <w:i w:val="0"/>
          <w:iCs w:val="0"/>
          <w:caps w:val="0"/>
          <w:color w:val="232323"/>
          <w:spacing w:val="0"/>
          <w:sz w:val="28"/>
          <w:szCs w:val="28"/>
          <w:bdr w:val="none" w:color="auto" w:sz="0" w:space="0"/>
          <w:shd w:val="clear" w:fill="FFFFFF"/>
        </w:rPr>
        <w:t>-</w:t>
      </w:r>
      <w:r>
        <w:rPr>
          <w:rFonts w:hint="default" w:ascii="Times New Roman" w:hAnsi="Times New Roman" w:eastAsia="微软雅黑" w:cs="Times New Roman"/>
          <w:i w:val="0"/>
          <w:iCs w:val="0"/>
          <w:caps w:val="0"/>
          <w:color w:val="232323"/>
          <w:spacing w:val="0"/>
          <w:sz w:val="28"/>
          <w:szCs w:val="28"/>
          <w:bdr w:val="none" w:color="auto" w:sz="0" w:space="0"/>
          <w:shd w:val="clear" w:fill="FFFFFF"/>
        </w:rPr>
        <w:t>-</w:t>
      </w:r>
      <w:r>
        <w:rPr>
          <w:rFonts w:hint="default" w:ascii="Times New Roman" w:hAnsi="Times New Roman" w:eastAsia="宋体" w:cs="Times New Roman"/>
          <w:i w:val="0"/>
          <w:iCs w:val="0"/>
          <w:caps w:val="0"/>
          <w:color w:val="232323"/>
          <w:spacing w:val="0"/>
          <w:sz w:val="28"/>
          <w:szCs w:val="28"/>
          <w:bdr w:val="none" w:color="auto" w:sz="0" w:space="0"/>
          <w:shd w:val="clear" w:fill="FFFFFF"/>
        </w:rPr>
        <w:t>20</w:t>
      </w:r>
      <w:r>
        <w:rPr>
          <w:rFonts w:hint="eastAsia" w:ascii="宋体" w:hAnsi="宋体" w:eastAsia="宋体" w:cs="宋体"/>
          <w:i w:val="0"/>
          <w:iCs w:val="0"/>
          <w:caps w:val="0"/>
          <w:color w:val="232323"/>
          <w:spacing w:val="0"/>
          <w:sz w:val="28"/>
          <w:szCs w:val="28"/>
          <w:bdr w:val="none" w:color="auto" w:sz="0" w:space="0"/>
          <w:shd w:val="clear" w:fill="FFFFFF"/>
        </w:rPr>
        <w:t>日对县民政局进行了现场评价。我们按照部门整体支出绩效评价的考核指标，主要采用了成本效益分析法、比较法、公众评判法等技术方法进行绩效评价，主要工作内容有：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b/>
          <w:bCs/>
          <w:i w:val="0"/>
          <w:iCs w:val="0"/>
          <w:caps w:val="0"/>
          <w:color w:val="232323"/>
          <w:spacing w:val="0"/>
          <w:sz w:val="28"/>
          <w:szCs w:val="28"/>
          <w:bdr w:val="none" w:color="auto" w:sz="0" w:space="0"/>
          <w:shd w:val="clear" w:fill="FFFFFF"/>
        </w:rPr>
        <w:t>1</w:t>
      </w:r>
      <w:r>
        <w:rPr>
          <w:rFonts w:hint="eastAsia" w:ascii="宋体" w:hAnsi="宋体" w:eastAsia="宋体" w:cs="宋体"/>
          <w:b/>
          <w:bCs/>
          <w:i w:val="0"/>
          <w:iCs w:val="0"/>
          <w:caps w:val="0"/>
          <w:color w:val="232323"/>
          <w:spacing w:val="0"/>
          <w:sz w:val="28"/>
          <w:szCs w:val="28"/>
          <w:bdr w:val="none" w:color="auto" w:sz="0" w:space="0"/>
          <w:shd w:val="clear" w:fill="FFFFFF"/>
        </w:rPr>
        <w:t>、资料收集：</w:t>
      </w:r>
      <w:r>
        <w:rPr>
          <w:rFonts w:hint="eastAsia" w:ascii="宋体" w:hAnsi="宋体" w:eastAsia="宋体" w:cs="宋体"/>
          <w:i w:val="0"/>
          <w:iCs w:val="0"/>
          <w:caps w:val="0"/>
          <w:color w:val="232323"/>
          <w:spacing w:val="0"/>
          <w:sz w:val="28"/>
          <w:szCs w:val="28"/>
          <w:bdr w:val="none" w:color="auto" w:sz="0" w:space="0"/>
          <w:shd w:val="clear" w:fill="FFFFFF"/>
        </w:rPr>
        <w:t>初期收集单位预算、决算、财务报表、财务制度、人事资料、绩效管理等基础资料，入场以后根据被评价单位的特点收集外包合同、内部控制制度、管理作业记录、群众投诉处理记录、购买服务合同履约记录、监管记录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b/>
          <w:bCs/>
          <w:i w:val="0"/>
          <w:iCs w:val="0"/>
          <w:caps w:val="0"/>
          <w:color w:val="232323"/>
          <w:spacing w:val="0"/>
          <w:sz w:val="28"/>
          <w:szCs w:val="28"/>
          <w:bdr w:val="none" w:color="auto" w:sz="0" w:space="0"/>
          <w:shd w:val="clear" w:fill="FFFFFF"/>
        </w:rPr>
        <w:t>2</w:t>
      </w:r>
      <w:r>
        <w:rPr>
          <w:rFonts w:hint="eastAsia" w:ascii="宋体" w:hAnsi="宋体" w:eastAsia="宋体" w:cs="宋体"/>
          <w:b/>
          <w:bCs/>
          <w:i w:val="0"/>
          <w:iCs w:val="0"/>
          <w:caps w:val="0"/>
          <w:color w:val="232323"/>
          <w:spacing w:val="0"/>
          <w:sz w:val="28"/>
          <w:szCs w:val="28"/>
          <w:bdr w:val="none" w:color="auto" w:sz="0" w:space="0"/>
          <w:shd w:val="clear" w:fill="FFFFFF"/>
        </w:rPr>
        <w:t>、资料的研究、核实：</w:t>
      </w:r>
      <w:r>
        <w:rPr>
          <w:rFonts w:hint="eastAsia" w:ascii="宋体" w:hAnsi="宋体" w:eastAsia="宋体" w:cs="宋体"/>
          <w:i w:val="0"/>
          <w:iCs w:val="0"/>
          <w:caps w:val="0"/>
          <w:color w:val="232323"/>
          <w:spacing w:val="0"/>
          <w:sz w:val="28"/>
          <w:szCs w:val="28"/>
          <w:bdr w:val="none" w:color="auto" w:sz="0" w:space="0"/>
          <w:shd w:val="clear" w:fill="FFFFFF"/>
        </w:rPr>
        <w:t>对收集的资料进行阅读，咨询存疑部分，核实相关数据、条件许可的情况下核实数据与实际业务。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b/>
          <w:bCs/>
          <w:i w:val="0"/>
          <w:iCs w:val="0"/>
          <w:caps w:val="0"/>
          <w:color w:val="232323"/>
          <w:spacing w:val="0"/>
          <w:sz w:val="28"/>
          <w:szCs w:val="28"/>
          <w:bdr w:val="none" w:color="auto" w:sz="0" w:space="0"/>
          <w:shd w:val="clear" w:fill="FFFFFF"/>
        </w:rPr>
        <w:t>3</w:t>
      </w:r>
      <w:r>
        <w:rPr>
          <w:rFonts w:hint="eastAsia" w:ascii="宋体" w:hAnsi="宋体" w:eastAsia="宋体" w:cs="宋体"/>
          <w:b/>
          <w:bCs/>
          <w:i w:val="0"/>
          <w:iCs w:val="0"/>
          <w:caps w:val="0"/>
          <w:color w:val="232323"/>
          <w:spacing w:val="0"/>
          <w:sz w:val="28"/>
          <w:szCs w:val="28"/>
          <w:bdr w:val="none" w:color="auto" w:sz="0" w:space="0"/>
          <w:shd w:val="clear" w:fill="FFFFFF"/>
        </w:rPr>
        <w:t>、座谈、交流：</w:t>
      </w:r>
      <w:r>
        <w:rPr>
          <w:rFonts w:hint="eastAsia" w:ascii="宋体" w:hAnsi="宋体" w:eastAsia="宋体" w:cs="宋体"/>
          <w:i w:val="0"/>
          <w:iCs w:val="0"/>
          <w:caps w:val="0"/>
          <w:color w:val="232323"/>
          <w:spacing w:val="0"/>
          <w:sz w:val="28"/>
          <w:szCs w:val="28"/>
          <w:bdr w:val="none" w:color="auto" w:sz="0" w:space="0"/>
          <w:shd w:val="clear" w:fill="FFFFFF"/>
        </w:rPr>
        <w:t>与单位主要管理人员、绩效管理人员、财务、人事、及主要业务部门进行座谈，了解工作作业与管理流程、关键控制点、绩效管控的记录情况，比对财务数据与部门记录，确定绩效评价标准与指标体系。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b/>
          <w:bCs/>
          <w:i w:val="0"/>
          <w:iCs w:val="0"/>
          <w:caps w:val="0"/>
          <w:color w:val="232323"/>
          <w:spacing w:val="0"/>
          <w:sz w:val="28"/>
          <w:szCs w:val="28"/>
          <w:bdr w:val="none" w:color="auto" w:sz="0" w:space="0"/>
          <w:shd w:val="clear" w:fill="FFFFFF"/>
        </w:rPr>
        <w:t>4</w:t>
      </w:r>
      <w:r>
        <w:rPr>
          <w:rFonts w:hint="eastAsia" w:ascii="宋体" w:hAnsi="宋体" w:eastAsia="宋体" w:cs="宋体"/>
          <w:b/>
          <w:bCs/>
          <w:i w:val="0"/>
          <w:iCs w:val="0"/>
          <w:caps w:val="0"/>
          <w:color w:val="232323"/>
          <w:spacing w:val="0"/>
          <w:sz w:val="28"/>
          <w:szCs w:val="28"/>
          <w:bdr w:val="none" w:color="auto" w:sz="0" w:space="0"/>
          <w:shd w:val="clear" w:fill="FFFFFF"/>
        </w:rPr>
        <w:t>、抽样：</w:t>
      </w:r>
      <w:r>
        <w:rPr>
          <w:rFonts w:hint="eastAsia" w:ascii="宋体" w:hAnsi="宋体" w:eastAsia="宋体" w:cs="宋体"/>
          <w:i w:val="0"/>
          <w:iCs w:val="0"/>
          <w:caps w:val="0"/>
          <w:color w:val="232323"/>
          <w:spacing w:val="0"/>
          <w:sz w:val="28"/>
          <w:szCs w:val="28"/>
          <w:bdr w:val="none" w:color="auto" w:sz="0" w:space="0"/>
          <w:shd w:val="clear" w:fill="FFFFFF"/>
        </w:rPr>
        <w:t>根据绩效评价标准与指标体系确定资金抽查范围和重点检查事项，对系列财务报表、财政支出票据等进行抽样检查，对存疑点及时咨询核实。本次评价资金支出抽查范围为县民政局基本支出、项目支出中的最低生活保障支出、特困生活供养支出三大项支出，抽查资金总额</w:t>
      </w:r>
      <w:r>
        <w:rPr>
          <w:rFonts w:hint="default" w:ascii="Times New Roman" w:hAnsi="Times New Roman" w:eastAsia="宋体" w:cs="Times New Roman"/>
          <w:i w:val="0"/>
          <w:iCs w:val="0"/>
          <w:caps w:val="0"/>
          <w:color w:val="232323"/>
          <w:spacing w:val="0"/>
          <w:sz w:val="28"/>
          <w:szCs w:val="28"/>
          <w:bdr w:val="none" w:color="auto" w:sz="0" w:space="0"/>
          <w:shd w:val="clear" w:fill="FFFFFF"/>
        </w:rPr>
        <w:t>13064.99</w:t>
      </w:r>
      <w:r>
        <w:rPr>
          <w:rFonts w:hint="eastAsia" w:ascii="宋体" w:hAnsi="宋体" w:eastAsia="宋体" w:cs="宋体"/>
          <w:i w:val="0"/>
          <w:iCs w:val="0"/>
          <w:caps w:val="0"/>
          <w:color w:val="232323"/>
          <w:spacing w:val="0"/>
          <w:sz w:val="28"/>
          <w:szCs w:val="28"/>
          <w:bdr w:val="none" w:color="auto" w:sz="0" w:space="0"/>
          <w:shd w:val="clear" w:fill="FFFFFF"/>
        </w:rPr>
        <w:t>万元，抽查资金比例占县民政局</w:t>
      </w:r>
      <w:r>
        <w:rPr>
          <w:rFonts w:hint="default" w:ascii="Times New Roman" w:hAnsi="Times New Roman" w:eastAsia="宋体" w:cs="Times New Roman"/>
          <w:i w:val="0"/>
          <w:iCs w:val="0"/>
          <w:caps w:val="0"/>
          <w:color w:val="232323"/>
          <w:spacing w:val="0"/>
          <w:sz w:val="28"/>
          <w:szCs w:val="28"/>
          <w:bdr w:val="none" w:color="auto" w:sz="0" w:space="0"/>
          <w:shd w:val="clear" w:fill="FFFFFF"/>
        </w:rPr>
        <w:t>2021</w:t>
      </w:r>
      <w:r>
        <w:rPr>
          <w:rFonts w:hint="eastAsia" w:ascii="宋体" w:hAnsi="宋体" w:eastAsia="宋体" w:cs="宋体"/>
          <w:i w:val="0"/>
          <w:iCs w:val="0"/>
          <w:caps w:val="0"/>
          <w:color w:val="232323"/>
          <w:spacing w:val="0"/>
          <w:sz w:val="28"/>
          <w:szCs w:val="28"/>
          <w:bdr w:val="none" w:color="auto" w:sz="0" w:space="0"/>
          <w:shd w:val="clear" w:fill="FFFFFF"/>
        </w:rPr>
        <w:t>年度总支出的</w:t>
      </w:r>
      <w:r>
        <w:rPr>
          <w:rFonts w:hint="default" w:ascii="Times New Roman" w:hAnsi="Times New Roman" w:eastAsia="宋体" w:cs="Times New Roman"/>
          <w:i w:val="0"/>
          <w:iCs w:val="0"/>
          <w:caps w:val="0"/>
          <w:color w:val="232323"/>
          <w:spacing w:val="0"/>
          <w:sz w:val="28"/>
          <w:szCs w:val="28"/>
          <w:bdr w:val="none" w:color="auto" w:sz="0" w:space="0"/>
          <w:shd w:val="clear" w:fill="FFFFFF"/>
        </w:rPr>
        <w:t>69%</w:t>
      </w:r>
      <w:r>
        <w:rPr>
          <w:rFonts w:hint="eastAsia" w:ascii="宋体" w:hAnsi="宋体" w:eastAsia="宋体" w:cs="宋体"/>
          <w:i w:val="0"/>
          <w:iCs w:val="0"/>
          <w:caps w:val="0"/>
          <w:color w:val="232323"/>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b/>
          <w:bCs/>
          <w:i w:val="0"/>
          <w:iCs w:val="0"/>
          <w:caps w:val="0"/>
          <w:color w:val="232323"/>
          <w:spacing w:val="0"/>
          <w:sz w:val="28"/>
          <w:szCs w:val="28"/>
          <w:bdr w:val="none" w:color="auto" w:sz="0" w:space="0"/>
          <w:shd w:val="clear" w:fill="FFFFFF"/>
        </w:rPr>
        <w:t>5</w:t>
      </w:r>
      <w:r>
        <w:rPr>
          <w:rFonts w:hint="eastAsia" w:ascii="宋体" w:hAnsi="宋体" w:eastAsia="宋体" w:cs="宋体"/>
          <w:b/>
          <w:bCs/>
          <w:i w:val="0"/>
          <w:iCs w:val="0"/>
          <w:caps w:val="0"/>
          <w:color w:val="232323"/>
          <w:spacing w:val="0"/>
          <w:sz w:val="28"/>
          <w:szCs w:val="28"/>
          <w:bdr w:val="none" w:color="auto" w:sz="0" w:space="0"/>
          <w:shd w:val="clear" w:fill="FFFFFF"/>
        </w:rPr>
        <w:t>、实地核查：</w:t>
      </w:r>
      <w:r>
        <w:rPr>
          <w:rFonts w:hint="eastAsia" w:ascii="宋体" w:hAnsi="宋体" w:eastAsia="宋体" w:cs="宋体"/>
          <w:i w:val="0"/>
          <w:iCs w:val="0"/>
          <w:caps w:val="0"/>
          <w:color w:val="232323"/>
          <w:spacing w:val="0"/>
          <w:sz w:val="28"/>
          <w:szCs w:val="28"/>
          <w:bdr w:val="none" w:color="auto" w:sz="0" w:space="0"/>
          <w:shd w:val="clear" w:fill="FFFFFF"/>
        </w:rPr>
        <w:t>实地查看实物资产，查询县民政局规划财务股、社会救助股、救助管理站等部门的内部管理、工作流程与工作绩效结果，抽查北山敬老院、救助管理站等现场管理与日常作业记录。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b/>
          <w:bCs/>
          <w:i w:val="0"/>
          <w:iCs w:val="0"/>
          <w:caps w:val="0"/>
          <w:color w:val="232323"/>
          <w:spacing w:val="0"/>
          <w:sz w:val="28"/>
          <w:szCs w:val="28"/>
          <w:bdr w:val="none" w:color="auto" w:sz="0" w:space="0"/>
          <w:shd w:val="clear" w:fill="FFFFFF"/>
        </w:rPr>
        <w:t>6</w:t>
      </w:r>
      <w:r>
        <w:rPr>
          <w:rFonts w:hint="eastAsia" w:ascii="宋体" w:hAnsi="宋体" w:eastAsia="宋体" w:cs="宋体"/>
          <w:b/>
          <w:bCs/>
          <w:i w:val="0"/>
          <w:iCs w:val="0"/>
          <w:caps w:val="0"/>
          <w:color w:val="232323"/>
          <w:spacing w:val="0"/>
          <w:sz w:val="28"/>
          <w:szCs w:val="28"/>
          <w:bdr w:val="none" w:color="auto" w:sz="0" w:space="0"/>
          <w:shd w:val="clear" w:fill="FFFFFF"/>
        </w:rPr>
        <w:t>、问卷调查：</w:t>
      </w:r>
      <w:r>
        <w:rPr>
          <w:rFonts w:hint="eastAsia" w:ascii="宋体" w:hAnsi="宋体" w:eastAsia="宋体" w:cs="宋体"/>
          <w:i w:val="0"/>
          <w:iCs w:val="0"/>
          <w:caps w:val="0"/>
          <w:color w:val="232323"/>
          <w:spacing w:val="0"/>
          <w:sz w:val="28"/>
          <w:szCs w:val="28"/>
          <w:bdr w:val="none" w:color="auto" w:sz="0" w:space="0"/>
          <w:shd w:val="clear" w:fill="FFFFFF"/>
        </w:rPr>
        <w:t>对县民政局本年度工作依据、过程和成果的完成情况，以及与前年度比对情况，随机向社会公众作整体绩效问卷调查；从居民最低生活保障（低保）专项资金受益对象中随机抽取调查样本，对调查样本进行专项电话问卷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b/>
          <w:bCs/>
          <w:i w:val="0"/>
          <w:iCs w:val="0"/>
          <w:caps w:val="0"/>
          <w:color w:val="232323"/>
          <w:spacing w:val="0"/>
          <w:sz w:val="28"/>
          <w:szCs w:val="28"/>
          <w:bdr w:val="none" w:color="auto" w:sz="0" w:space="0"/>
          <w:shd w:val="clear" w:fill="FFFFFF"/>
        </w:rPr>
        <w:t>7</w:t>
      </w:r>
      <w:r>
        <w:rPr>
          <w:rFonts w:hint="eastAsia" w:ascii="宋体" w:hAnsi="宋体" w:eastAsia="宋体" w:cs="宋体"/>
          <w:b/>
          <w:bCs/>
          <w:i w:val="0"/>
          <w:iCs w:val="0"/>
          <w:caps w:val="0"/>
          <w:color w:val="232323"/>
          <w:spacing w:val="0"/>
          <w:sz w:val="28"/>
          <w:szCs w:val="28"/>
          <w:bdr w:val="none" w:color="auto" w:sz="0" w:space="0"/>
          <w:shd w:val="clear" w:fill="FFFFFF"/>
        </w:rPr>
        <w:t>、形成报告：</w:t>
      </w:r>
      <w:r>
        <w:rPr>
          <w:rFonts w:hint="eastAsia" w:ascii="宋体" w:hAnsi="宋体" w:eastAsia="宋体" w:cs="宋体"/>
          <w:i w:val="0"/>
          <w:iCs w:val="0"/>
          <w:caps w:val="0"/>
          <w:color w:val="232323"/>
          <w:spacing w:val="0"/>
          <w:sz w:val="28"/>
          <w:szCs w:val="28"/>
          <w:bdr w:val="none" w:color="auto" w:sz="0" w:space="0"/>
          <w:shd w:val="clear" w:fill="FFFFFF"/>
        </w:rPr>
        <w:t>根据工作底稿撰写评价报告。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42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sz w:val="28"/>
          <w:szCs w:val="28"/>
          <w:bdr w:val="none" w:color="auto" w:sz="0" w:space="0"/>
          <w:shd w:val="clear" w:fill="FFFFFF"/>
        </w:rPr>
        <w:t>（二）评价结论：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56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sz w:val="28"/>
          <w:szCs w:val="28"/>
          <w:bdr w:val="none" w:color="auto" w:sz="0" w:space="0"/>
          <w:shd w:val="clear" w:fill="FFFFFF"/>
        </w:rPr>
        <w:t>根据部门整体支出绩效评价标准与指标体系做出客观评价，隆回县民政局</w:t>
      </w:r>
      <w:r>
        <w:rPr>
          <w:rFonts w:hint="default" w:ascii="Times New Roman" w:hAnsi="Times New Roman" w:eastAsia="宋体" w:cs="Times New Roman"/>
          <w:i w:val="0"/>
          <w:iCs w:val="0"/>
          <w:caps w:val="0"/>
          <w:color w:val="232323"/>
          <w:spacing w:val="0"/>
          <w:sz w:val="28"/>
          <w:szCs w:val="28"/>
          <w:bdr w:val="none" w:color="auto" w:sz="0" w:space="0"/>
          <w:shd w:val="clear" w:fill="FFFFFF"/>
        </w:rPr>
        <w:t>2021</w:t>
      </w:r>
      <w:r>
        <w:rPr>
          <w:rFonts w:hint="eastAsia" w:ascii="宋体" w:hAnsi="宋体" w:eastAsia="宋体" w:cs="宋体"/>
          <w:i w:val="0"/>
          <w:iCs w:val="0"/>
          <w:caps w:val="0"/>
          <w:color w:val="232323"/>
          <w:spacing w:val="0"/>
          <w:sz w:val="28"/>
          <w:szCs w:val="28"/>
          <w:bdr w:val="none" w:color="auto" w:sz="0" w:space="0"/>
          <w:shd w:val="clear" w:fill="FFFFFF"/>
        </w:rPr>
        <w:t>年部门整体支出绩效评价综合得分</w:t>
      </w:r>
      <w:r>
        <w:rPr>
          <w:rFonts w:hint="default" w:ascii="Times New Roman" w:hAnsi="Times New Roman" w:eastAsia="宋体" w:cs="Times New Roman"/>
          <w:i w:val="0"/>
          <w:iCs w:val="0"/>
          <w:caps w:val="0"/>
          <w:color w:val="232323"/>
          <w:spacing w:val="0"/>
          <w:sz w:val="28"/>
          <w:szCs w:val="28"/>
          <w:bdr w:val="none" w:color="auto" w:sz="0" w:space="0"/>
          <w:shd w:val="clear" w:fill="FFFFFF"/>
        </w:rPr>
        <w:t>81.5</w:t>
      </w:r>
      <w:r>
        <w:rPr>
          <w:rFonts w:hint="eastAsia" w:ascii="宋体" w:hAnsi="宋体" w:eastAsia="宋体" w:cs="宋体"/>
          <w:i w:val="0"/>
          <w:iCs w:val="0"/>
          <w:caps w:val="0"/>
          <w:color w:val="232323"/>
          <w:spacing w:val="0"/>
          <w:sz w:val="28"/>
          <w:szCs w:val="28"/>
          <w:bdr w:val="none" w:color="auto" w:sz="0" w:space="0"/>
          <w:shd w:val="clear" w:fill="FFFFFF"/>
        </w:rPr>
        <w:t>分，绩效等级评价为“良”。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四、部门项目组织实施情况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    （一）项目组织情况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县民政局统筹规划全县民政工作，开展年度内各基本项目的组织实施与监督管理。一是有效衔接与巩固拓展脱贫攻坚成果，振兴乡村社会经济发展，积极改革与完善社会救助体系；二是积极应对人口老龄化趋势，提质增效加快发展养老服务，推进儿童福利服务和未成年人保护工作；三是积极推进基层政权建设和城乡社区建设</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努力实现社会事务、社会工作、志愿服务管理上新台阶；四是高质量发展福利彩票事业，积极推动慈善事业新发展；五是提升公共服务水平助力乡村振兴，繁荣发展红色文化，弘扬红色革命精神，积极推进革命老区经济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0" w:right="0" w:hanging="885"/>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微软雅黑" w:cs="Times New Roman"/>
          <w:b/>
          <w:bCs/>
          <w:i w:val="0"/>
          <w:iCs w:val="0"/>
          <w:caps w:val="0"/>
          <w:color w:val="232323"/>
          <w:spacing w:val="0"/>
          <w:sz w:val="28"/>
          <w:szCs w:val="28"/>
          <w:bdr w:val="none" w:color="auto" w:sz="0" w:space="0"/>
          <w:shd w:val="clear" w:fill="FFFFFF"/>
        </w:rPr>
        <w:t>（二） </w:t>
      </w:r>
      <w:r>
        <w:rPr>
          <w:rFonts w:hint="eastAsia" w:ascii="宋体" w:hAnsi="宋体" w:eastAsia="宋体" w:cs="宋体"/>
          <w:b/>
          <w:bCs/>
          <w:i w:val="0"/>
          <w:iCs w:val="0"/>
          <w:caps w:val="0"/>
          <w:color w:val="232323"/>
          <w:spacing w:val="0"/>
          <w:sz w:val="28"/>
          <w:szCs w:val="28"/>
          <w:bdr w:val="none" w:color="auto" w:sz="0" w:space="0"/>
          <w:shd w:val="clear" w:fill="FFFFFF"/>
        </w:rPr>
        <w:t>项目管理情况</w:t>
      </w:r>
      <w:r>
        <w:rPr>
          <w:rFonts w:hint="eastAsia" w:ascii="宋体" w:hAnsi="宋体" w:eastAsia="宋体" w:cs="宋体"/>
          <w:i w:val="0"/>
          <w:iCs w:val="0"/>
          <w:caps w:val="0"/>
          <w:color w:val="232323"/>
          <w:spacing w:val="0"/>
          <w:sz w:val="28"/>
          <w:szCs w:val="28"/>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加强对购买社会化护理服务的日常监督与管理，做到日常护理有台账，护理品质有要求，人员异动有跟踪，食谱管理有记录，钱物支出有标准，财务管理有监督。工作流程有序阳光透明，让被护理人员享有应有的人格尊严与社会关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积极吸纳社会资本进入养老领域，重点推动魏源老年公寓、佳源老年公寓、颐和养老院项目建设，规划新建养老床位</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3500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张；积极推进公办敬老院进行全面的适养改造和创星工作。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县民政局从上级民政部门推荐目录中通过</w:t>
      </w:r>
      <w:bookmarkStart w:id="6" w:name="_Hlk106976724"/>
      <w:r>
        <w:rPr>
          <w:rFonts w:hint="eastAsia" w:ascii="宋体" w:hAnsi="宋体" w:eastAsia="宋体" w:cs="宋体"/>
          <w:i w:val="0"/>
          <w:iCs w:val="0"/>
          <w:caps w:val="0"/>
          <w:color w:val="232323"/>
          <w:spacing w:val="0"/>
          <w:kern w:val="0"/>
          <w:sz w:val="28"/>
          <w:szCs w:val="28"/>
          <w:u w:val="none"/>
          <w:bdr w:val="none" w:color="auto" w:sz="0" w:space="0"/>
          <w:shd w:val="clear" w:fill="FFFFFF"/>
          <w:lang w:val="en-US" w:eastAsia="zh-CN" w:bidi="ar"/>
        </w:rPr>
        <w:t>政府采购</w:t>
      </w:r>
      <w:bookmarkEnd w:id="6"/>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平台向社会购买护理服务，满足救助站、敬老院、特困老人、儿童福利院等对护理服务的需求，整体上实行护理服务社会化外包</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民政局综合监管的管理模式。如</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月</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8</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日民政局与慧燕服务有限公司签订《购买护理服务合同》，服务场所为北山敬老院，合同期限为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和</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022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两个年度，合同对服务内容与职责、服务费用与双方责任都做了明确的约定。</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五、资产管理情况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        截止</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月</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日，隆回县民政局资产总额为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11,910.8</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8</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万元，其中：流动资产</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8,705.82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万元，均为其他应收款净额；固定资产</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3,205.0</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6</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万元，其中固定资产净值</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2,818.70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万元，在建工程</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386.36</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县民政局制定和完善了固定资产管理制度，对固定资产做出了定性与量化界定，对固定资产的使用和管理做到了系统、全面与规范，对已投入正常使用的在建工程项目及时进行工程竣工决算，在资产负债表中予以列报，纳入正常的资产财务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六、部门整体支出绩效情况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隆回县民政局</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年度部门整体支出绩效情况良好。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（一）经济效益分析</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、在提高了农村城市低保、残疾人两项补贴、特困供养、高龄补贴等标准前提下，</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年度发放农村城市低保、残疾人两项补贴、特困供养、高龄补贴等民政惠民资金共计</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1.448</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亿元，较</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年度</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1.602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亿元减少</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0.154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亿元，提高了惠民资金的实际使用效益。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年度社会救助兜底发放困难救助金</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1.54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亿元，其中：残疾人两项补贴</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1870</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万元，农村低保</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8092.99</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万元，城市低保</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1468</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万元，临时救助</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1092.18</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万元，特困供养</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3010</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万元。对符合条件的孤儿、事实无人抚养儿童及未满十八周岁的艾滋病患者，按照每人每月</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950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元的标准发放补助。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textAlignment w:val="baseline"/>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3</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2021</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年度投入资金</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110</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余万元，对北山、石门、司门前、六都寨等敬老院进行了适养化提质升级改造。</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90</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周岁至</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99</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周岁、</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100</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周岁以上的两个年龄阶段</w:t>
      </w:r>
      <w:bookmarkStart w:id="7" w:name="_Hlk110845199"/>
      <w:r>
        <w:rPr>
          <w:rFonts w:hint="eastAsia" w:ascii="宋体" w:hAnsi="宋体" w:eastAsia="宋体" w:cs="宋体"/>
          <w:i w:val="0"/>
          <w:iCs w:val="0"/>
          <w:caps w:val="0"/>
          <w:color w:val="232323"/>
          <w:spacing w:val="0"/>
          <w:kern w:val="0"/>
          <w:sz w:val="28"/>
          <w:szCs w:val="28"/>
          <w:u w:val="none"/>
          <w:bdr w:val="none" w:color="auto" w:sz="0" w:space="0"/>
          <w:shd w:val="clear" w:fill="FFFFFF"/>
          <w:vertAlign w:val="baseline"/>
          <w:lang w:val="en-US" w:eastAsia="zh-CN" w:bidi="ar"/>
        </w:rPr>
        <w:t>高龄</w:t>
      </w:r>
      <w:bookmarkEnd w:id="7"/>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老人高龄补贴分别提标到</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100</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元</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人·月与</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500</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元</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人·月。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年度，困难残疾人生活补贴、重度残疾人护理补贴标准提高到每人每月</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70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元， 全年减免困难群众殡仪费用</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68</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5</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年度末全县实现福彩销售额</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2946.69</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万元，同比增长</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650.5</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万元，增幅</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28.33%</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，总销售额排名全市第二。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sz w:val="28"/>
          <w:szCs w:val="28"/>
          <w:bdr w:val="none" w:color="auto" w:sz="0" w:space="0"/>
          <w:shd w:val="clear" w:fill="FFFFFF"/>
        </w:rPr>
        <w:t>        </w:t>
      </w:r>
      <w:r>
        <w:rPr>
          <w:rFonts w:hint="default" w:ascii="Times New Roman" w:hAnsi="Times New Roman" w:eastAsia="宋体" w:cs="Times New Roman"/>
          <w:i w:val="0"/>
          <w:iCs w:val="0"/>
          <w:caps w:val="0"/>
          <w:color w:val="232323"/>
          <w:spacing w:val="0"/>
          <w:sz w:val="28"/>
          <w:szCs w:val="28"/>
          <w:bdr w:val="none" w:color="auto" w:sz="0" w:space="0"/>
          <w:shd w:val="clear" w:fill="FFFFFF"/>
        </w:rPr>
        <w:t>6</w:t>
      </w:r>
      <w:r>
        <w:rPr>
          <w:rFonts w:hint="eastAsia" w:ascii="宋体" w:hAnsi="宋体" w:eastAsia="宋体" w:cs="宋体"/>
          <w:i w:val="0"/>
          <w:iCs w:val="0"/>
          <w:caps w:val="0"/>
          <w:color w:val="232323"/>
          <w:spacing w:val="0"/>
          <w:sz w:val="28"/>
          <w:szCs w:val="28"/>
          <w:bdr w:val="none" w:color="auto" w:sz="0" w:space="0"/>
          <w:shd w:val="clear" w:fill="FFFFFF"/>
        </w:rPr>
        <w:t>、乡村振兴驻村帮扶实行精准帮扶、产业帮扶，安排年专项帮扶资金</w:t>
      </w:r>
      <w:r>
        <w:rPr>
          <w:rFonts w:hint="default" w:ascii="Times New Roman" w:hAnsi="Times New Roman" w:eastAsia="宋体" w:cs="Times New Roman"/>
          <w:i w:val="0"/>
          <w:iCs w:val="0"/>
          <w:caps w:val="0"/>
          <w:color w:val="232323"/>
          <w:spacing w:val="0"/>
          <w:sz w:val="28"/>
          <w:szCs w:val="28"/>
          <w:bdr w:val="none" w:color="auto" w:sz="0" w:space="0"/>
          <w:shd w:val="clear" w:fill="FFFFFF"/>
        </w:rPr>
        <w:t>25</w:t>
      </w:r>
      <w:r>
        <w:rPr>
          <w:rFonts w:hint="eastAsia" w:ascii="宋体" w:hAnsi="宋体" w:eastAsia="宋体" w:cs="宋体"/>
          <w:i w:val="0"/>
          <w:iCs w:val="0"/>
          <w:caps w:val="0"/>
          <w:color w:val="232323"/>
          <w:spacing w:val="0"/>
          <w:sz w:val="28"/>
          <w:szCs w:val="28"/>
          <w:bdr w:val="none" w:color="auto" w:sz="0" w:space="0"/>
          <w:shd w:val="clear" w:fill="FFFFFF"/>
        </w:rPr>
        <w:t>万元，支持驻点村项目建设和产业发展。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（二）社会效益分析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年度社会救助兜底保障和救助困难对象</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71.</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66</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万人次，其中：残疾人两项补贴</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267169</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人次，农村低保</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336244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人次，城市低保</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38719</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人次，临时救助</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11570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人次，特困供养</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62940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人次。对</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3000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多名困难儿童、</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7000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多名留守儿童进行了开学前救助，对</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17374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名留守儿童签订了监护协议。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textAlignment w:val="baseline"/>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2</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、年度末全县失能半失能特困人员集中供养率达到</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61.04%</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；专业性养老床位达到</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6988</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张，其中公办雨山、石门、荷香桥、北山敬老院均设有护理型床位</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vertAlign w:val="baseline"/>
          <w:lang w:val="en-US" w:eastAsia="zh-CN" w:bidi="ar"/>
        </w:rPr>
        <w:t>50</w:t>
      </w:r>
      <w:r>
        <w:rPr>
          <w:rFonts w:hint="eastAsia" w:ascii="宋体" w:hAnsi="宋体" w:eastAsia="宋体" w:cs="宋体"/>
          <w:i w:val="0"/>
          <w:iCs w:val="0"/>
          <w:caps w:val="0"/>
          <w:color w:val="232323"/>
          <w:spacing w:val="0"/>
          <w:kern w:val="0"/>
          <w:sz w:val="28"/>
          <w:szCs w:val="28"/>
          <w:bdr w:val="none" w:color="auto" w:sz="0" w:space="0"/>
          <w:shd w:val="clear" w:fill="FFFFFF"/>
          <w:vertAlign w:val="baseline"/>
          <w:lang w:val="en-US" w:eastAsia="zh-CN" w:bidi="ar"/>
        </w:rPr>
        <w:t>张，达到二星级养老院标准。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3</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、婚姻登记中心全年办理婚姻登记</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6679</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对，离婚登记调解服务自愿调解</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81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对，调解成功</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69</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、救助管理站接待、劝导、救助流浪人员</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1520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人次，经多方努力将滞留数年的</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名流浪对象送返家乡。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 </w:t>
      </w: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（三）生态效益分析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推动移风易俗，简化殡葬程序，提倡文明祭扫、生态殡葬。指导成立了隆回县红白喜事理事联合会，大力倡导喜事新办、丧事简办，减少鞭炮烟花燃放，减少空气污染和生活垃圾污染；全年火化遗体</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1228</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具，火化率同比提升</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3.5</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个百分点，联合发改、公安、自然资源等部门对殡葬行业、违建墓地进行了专项整治，有序推进公募殡葬，降低土葬率，保护土地资源，减少土地环境污染。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（四）社会满意度分析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、部门整体支出社会公众满意度调查：随机对社会公众进行问卷调查，发放并收回有效调查问卷</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份，统计表明，社会公众对县民政局年度各项工作的满意度评价分值介于</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83.53</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87.35</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分之间，社会公众满意度评价综合分值为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8</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5.68</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分，评价良好。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232323"/>
          <w:spacing w:val="0"/>
          <w:sz w:val="21"/>
          <w:szCs w:val="21"/>
        </w:rPr>
      </w:pPr>
      <w:r>
        <w:rPr>
          <w:rFonts w:ascii="等线" w:hAnsi="等线" w:eastAsia="等线" w:cs="等线"/>
          <w:i w:val="0"/>
          <w:iCs w:val="0"/>
          <w:caps w:val="0"/>
          <w:color w:val="232323"/>
          <w:spacing w:val="0"/>
          <w:kern w:val="0"/>
          <w:sz w:val="21"/>
          <w:szCs w:val="21"/>
          <w:bdr w:val="none" w:color="auto" w:sz="0" w:space="0"/>
          <w:shd w:val="clear" w:fill="FFFFFF"/>
          <w:lang w:val="en-US" w:eastAsia="zh-CN" w:bidi="ar"/>
        </w:rPr>
        <w:t> </w:t>
      </w:r>
      <w:r>
        <w:rPr>
          <w:rFonts w:hint="default" w:ascii="等线" w:hAnsi="等线" w:eastAsia="等线" w:cs="等线"/>
          <w:i w:val="0"/>
          <w:iCs w:val="0"/>
          <w:caps w:val="0"/>
          <w:color w:val="232323"/>
          <w:spacing w:val="0"/>
          <w:kern w:val="0"/>
          <w:sz w:val="21"/>
          <w:szCs w:val="21"/>
          <w:bdr w:val="none" w:color="auto" w:sz="0" w:space="0"/>
          <w:shd w:val="clear" w:fill="FFFFFF"/>
          <w:lang w:val="en-US" w:eastAsia="zh-CN" w:bidi="ar"/>
        </w:rPr>
        <w:t>         2、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居民最低生活保障（低保）专项资金受益对象满意度调查：从受益对象中随机抽取调查样本</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人，以电话形式进行专项问卷调查，统计表明，受益对象对该项资金的使用与管理的满意度评价分值介于</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81.00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94.00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分之间，其中：对居民最低生活保障的有关政策的了解评价分为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81.00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分，要强化对群众宣讲有关政策；受益对象满意度评价综合分值为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88.86</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分，评价良好。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25" w:right="0" w:firstLine="0"/>
        <w:jc w:val="left"/>
        <w:rPr>
          <w:rFonts w:hint="eastAsia" w:ascii="微软雅黑" w:hAnsi="微软雅黑" w:eastAsia="微软雅黑" w:cs="微软雅黑"/>
          <w:i w:val="0"/>
          <w:iCs w:val="0"/>
          <w:caps w:val="0"/>
          <w:color w:val="232323"/>
          <w:spacing w:val="0"/>
          <w:sz w:val="21"/>
          <w:szCs w:val="21"/>
        </w:rPr>
      </w:pPr>
      <w:bookmarkStart w:id="8" w:name="_Hlk110497676"/>
      <w:bookmarkEnd w:id="8"/>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（五）可持续性分析</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        </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、县民政局党组于</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年下半年开始对民政局</w:t>
      </w:r>
      <w:bookmarkStart w:id="9" w:name="_Hlk110413330"/>
      <w:r>
        <w:rPr>
          <w:rFonts w:hint="eastAsia" w:ascii="宋体" w:hAnsi="宋体" w:eastAsia="宋体" w:cs="宋体"/>
          <w:i w:val="0"/>
          <w:iCs w:val="0"/>
          <w:caps w:val="0"/>
          <w:color w:val="232323"/>
          <w:spacing w:val="0"/>
          <w:kern w:val="0"/>
          <w:sz w:val="28"/>
          <w:szCs w:val="28"/>
          <w:u w:val="none"/>
          <w:bdr w:val="none" w:color="auto" w:sz="0" w:space="0"/>
          <w:shd w:val="clear" w:fill="FFFFFF"/>
          <w:lang w:val="en-US" w:eastAsia="zh-CN" w:bidi="ar"/>
        </w:rPr>
        <w:t>内部管理制度进行清理与修订</w:t>
      </w:r>
      <w:bookmarkEnd w:id="9"/>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，汇编成《隆回县民政局内部管理制度》（以</w:t>
      </w:r>
      <w:bookmarkStart w:id="10" w:name="_Hlk110846882"/>
      <w:r>
        <w:rPr>
          <w:rFonts w:hint="eastAsia" w:ascii="宋体" w:hAnsi="宋体" w:eastAsia="宋体" w:cs="宋体"/>
          <w:i w:val="0"/>
          <w:iCs w:val="0"/>
          <w:caps w:val="0"/>
          <w:color w:val="232323"/>
          <w:spacing w:val="0"/>
          <w:kern w:val="0"/>
          <w:sz w:val="28"/>
          <w:szCs w:val="28"/>
          <w:u w:val="none"/>
          <w:bdr w:val="none" w:color="auto" w:sz="0" w:space="0"/>
          <w:shd w:val="clear" w:fill="FFFFFF"/>
          <w:lang w:val="en-US" w:eastAsia="zh-CN" w:bidi="ar"/>
        </w:rPr>
        <w:t>隆民发〔</w:t>
      </w:r>
      <w:r>
        <w:rPr>
          <w:rFonts w:hint="default" w:ascii="Times New Roman" w:hAnsi="Times New Roman" w:eastAsia="宋体" w:cs="Times New Roman"/>
          <w:i w:val="0"/>
          <w:iCs w:val="0"/>
          <w:caps w:val="0"/>
          <w:color w:val="232323"/>
          <w:spacing w:val="0"/>
          <w:kern w:val="0"/>
          <w:sz w:val="28"/>
          <w:szCs w:val="28"/>
          <w:u w:val="none"/>
          <w:bdr w:val="none" w:color="auto" w:sz="0" w:space="0"/>
          <w:shd w:val="clear" w:fill="FFFFFF"/>
          <w:lang w:val="en-US" w:eastAsia="zh-CN" w:bidi="ar"/>
        </w:rPr>
        <w:t>2022</w:t>
      </w:r>
      <w:r>
        <w:rPr>
          <w:rFonts w:hint="eastAsia" w:ascii="宋体" w:hAnsi="宋体" w:eastAsia="宋体" w:cs="宋体"/>
          <w:i w:val="0"/>
          <w:iCs w:val="0"/>
          <w:caps w:val="0"/>
          <w:color w:val="232323"/>
          <w:spacing w:val="0"/>
          <w:kern w:val="0"/>
          <w:sz w:val="28"/>
          <w:szCs w:val="28"/>
          <w:u w:val="none"/>
          <w:bdr w:val="none" w:color="auto" w:sz="0" w:space="0"/>
          <w:shd w:val="clear" w:fill="FFFFFF"/>
          <w:lang w:val="en-US" w:eastAsia="zh-CN" w:bidi="ar"/>
        </w:rPr>
        <w:t>〕</w:t>
      </w:r>
      <w:r>
        <w:rPr>
          <w:rFonts w:hint="default" w:ascii="Times New Roman" w:hAnsi="Times New Roman" w:eastAsia="宋体" w:cs="Times New Roman"/>
          <w:i w:val="0"/>
          <w:iCs w:val="0"/>
          <w:caps w:val="0"/>
          <w:color w:val="232323"/>
          <w:spacing w:val="0"/>
          <w:kern w:val="0"/>
          <w:sz w:val="28"/>
          <w:szCs w:val="28"/>
          <w:u w:val="none"/>
          <w:bdr w:val="none" w:color="auto" w:sz="0" w:space="0"/>
          <w:shd w:val="clear" w:fill="FFFFFF"/>
          <w:lang w:val="en-US" w:eastAsia="zh-CN" w:bidi="ar"/>
        </w:rPr>
        <w:t>15</w:t>
      </w:r>
      <w:r>
        <w:rPr>
          <w:rFonts w:hint="eastAsia" w:ascii="宋体" w:hAnsi="宋体" w:eastAsia="宋体" w:cs="宋体"/>
          <w:i w:val="0"/>
          <w:iCs w:val="0"/>
          <w:caps w:val="0"/>
          <w:color w:val="232323"/>
          <w:spacing w:val="0"/>
          <w:kern w:val="0"/>
          <w:sz w:val="28"/>
          <w:szCs w:val="28"/>
          <w:u w:val="none"/>
          <w:bdr w:val="none" w:color="auto" w:sz="0" w:space="0"/>
          <w:shd w:val="clear" w:fill="FFFFFF"/>
          <w:lang w:val="en-US" w:eastAsia="zh-CN" w:bidi="ar"/>
        </w:rPr>
        <w:t>号文件</w:t>
      </w:r>
      <w:bookmarkEnd w:id="10"/>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印发），内部管理制度的清理与修订为县民政局迎来工作新局面、新发展，起到了良好的引导、约束和规范作用。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sz w:val="28"/>
          <w:szCs w:val="28"/>
          <w:bdr w:val="none" w:color="auto" w:sz="0" w:space="0"/>
          <w:shd w:val="clear" w:fill="FFFFFF"/>
        </w:rPr>
        <w:t>2</w:t>
      </w:r>
      <w:r>
        <w:rPr>
          <w:rFonts w:hint="eastAsia" w:ascii="宋体" w:hAnsi="宋体" w:eastAsia="宋体" w:cs="宋体"/>
          <w:i w:val="0"/>
          <w:iCs w:val="0"/>
          <w:caps w:val="0"/>
          <w:color w:val="232323"/>
          <w:spacing w:val="0"/>
          <w:sz w:val="28"/>
          <w:szCs w:val="28"/>
          <w:bdr w:val="none" w:color="auto" w:sz="0" w:space="0"/>
          <w:shd w:val="clear" w:fill="FFFFFF"/>
        </w:rPr>
        <w:t>、隆回县民政局被省民政厅列入全省首批“互联网</w:t>
      </w:r>
      <w:r>
        <w:rPr>
          <w:rFonts w:hint="default" w:ascii="Times New Roman" w:hAnsi="Times New Roman" w:eastAsia="宋体" w:cs="Times New Roman"/>
          <w:i w:val="0"/>
          <w:iCs w:val="0"/>
          <w:caps w:val="0"/>
          <w:color w:val="232323"/>
          <w:spacing w:val="0"/>
          <w:sz w:val="28"/>
          <w:szCs w:val="28"/>
          <w:bdr w:val="none" w:color="auto" w:sz="0" w:space="0"/>
          <w:shd w:val="clear" w:fill="FFFFFF"/>
        </w:rPr>
        <w:t>+ </w:t>
      </w:r>
      <w:r>
        <w:rPr>
          <w:rFonts w:hint="eastAsia" w:ascii="宋体" w:hAnsi="宋体" w:eastAsia="宋体" w:cs="宋体"/>
          <w:i w:val="0"/>
          <w:iCs w:val="0"/>
          <w:caps w:val="0"/>
          <w:color w:val="232323"/>
          <w:spacing w:val="0"/>
          <w:sz w:val="28"/>
          <w:szCs w:val="28"/>
          <w:bdr w:val="none" w:color="auto" w:sz="0" w:space="0"/>
          <w:shd w:val="clear" w:fill="FFFFFF"/>
        </w:rPr>
        <w:t>”监督单位，包括民生资金、民生项目认定流程结果、民政局体系收支、三公经费以及其他财务管理等政务作业阳光化，信息公开透明，主动对接社会监督。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、局机关结合党建工作推行文明股室评比挂牌活动，将机关内部管理工作细化落地，获得了</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年度基层优秀党组织等多个集体与个人的荣誉表彰与荣誉称号。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sz w:val="28"/>
          <w:szCs w:val="28"/>
          <w:bdr w:val="none" w:color="auto" w:sz="0" w:space="0"/>
          <w:shd w:val="clear" w:fill="FFFFFF"/>
        </w:rPr>
        <w:t>4</w:t>
      </w:r>
      <w:r>
        <w:rPr>
          <w:rFonts w:hint="eastAsia" w:ascii="宋体" w:hAnsi="宋体" w:eastAsia="宋体" w:cs="宋体"/>
          <w:i w:val="0"/>
          <w:iCs w:val="0"/>
          <w:caps w:val="0"/>
          <w:color w:val="232323"/>
          <w:spacing w:val="0"/>
          <w:sz w:val="28"/>
          <w:szCs w:val="28"/>
          <w:bdr w:val="none" w:color="auto" w:sz="0" w:space="0"/>
          <w:shd w:val="clear" w:fill="FFFFFF"/>
        </w:rPr>
        <w:t>、全县现有公办敬老院有</w:t>
      </w:r>
      <w:r>
        <w:rPr>
          <w:rFonts w:hint="default" w:ascii="Times New Roman" w:hAnsi="Times New Roman" w:eastAsia="宋体" w:cs="Times New Roman"/>
          <w:i w:val="0"/>
          <w:iCs w:val="0"/>
          <w:caps w:val="0"/>
          <w:color w:val="232323"/>
          <w:spacing w:val="0"/>
          <w:sz w:val="28"/>
          <w:szCs w:val="28"/>
          <w:bdr w:val="none" w:color="auto" w:sz="0" w:space="0"/>
          <w:shd w:val="clear" w:fill="FFFFFF"/>
        </w:rPr>
        <w:t>9</w:t>
      </w:r>
      <w:r>
        <w:rPr>
          <w:rFonts w:hint="eastAsia" w:ascii="宋体" w:hAnsi="宋体" w:eastAsia="宋体" w:cs="宋体"/>
          <w:i w:val="0"/>
          <w:iCs w:val="0"/>
          <w:caps w:val="0"/>
          <w:color w:val="232323"/>
          <w:spacing w:val="0"/>
          <w:sz w:val="28"/>
          <w:szCs w:val="28"/>
          <w:bdr w:val="none" w:color="auto" w:sz="0" w:space="0"/>
          <w:shd w:val="clear" w:fill="FFFFFF"/>
        </w:rPr>
        <w:t>家，民办养老院</w:t>
      </w:r>
      <w:r>
        <w:rPr>
          <w:rFonts w:hint="default" w:ascii="Times New Roman" w:hAnsi="Times New Roman" w:eastAsia="宋体" w:cs="Times New Roman"/>
          <w:i w:val="0"/>
          <w:iCs w:val="0"/>
          <w:caps w:val="0"/>
          <w:color w:val="232323"/>
          <w:spacing w:val="0"/>
          <w:sz w:val="28"/>
          <w:szCs w:val="28"/>
          <w:bdr w:val="none" w:color="auto" w:sz="0" w:space="0"/>
          <w:shd w:val="clear" w:fill="FFFFFF"/>
        </w:rPr>
        <w:t>2</w:t>
      </w:r>
      <w:r>
        <w:rPr>
          <w:rFonts w:hint="eastAsia" w:ascii="宋体" w:hAnsi="宋体" w:eastAsia="宋体" w:cs="宋体"/>
          <w:i w:val="0"/>
          <w:iCs w:val="0"/>
          <w:caps w:val="0"/>
          <w:color w:val="232323"/>
          <w:spacing w:val="0"/>
          <w:sz w:val="28"/>
          <w:szCs w:val="28"/>
          <w:bdr w:val="none" w:color="auto" w:sz="0" w:space="0"/>
          <w:shd w:val="clear" w:fill="FFFFFF"/>
        </w:rPr>
        <w:t>家，公建民营养老院</w:t>
      </w:r>
      <w:r>
        <w:rPr>
          <w:rFonts w:hint="default" w:ascii="Times New Roman" w:hAnsi="Times New Roman" w:eastAsia="宋体" w:cs="Times New Roman"/>
          <w:i w:val="0"/>
          <w:iCs w:val="0"/>
          <w:caps w:val="0"/>
          <w:color w:val="232323"/>
          <w:spacing w:val="0"/>
          <w:sz w:val="28"/>
          <w:szCs w:val="28"/>
          <w:bdr w:val="none" w:color="auto" w:sz="0" w:space="0"/>
          <w:shd w:val="clear" w:fill="FFFFFF"/>
        </w:rPr>
        <w:t>1</w:t>
      </w:r>
      <w:r>
        <w:rPr>
          <w:rFonts w:hint="eastAsia" w:ascii="宋体" w:hAnsi="宋体" w:eastAsia="宋体" w:cs="宋体"/>
          <w:i w:val="0"/>
          <w:iCs w:val="0"/>
          <w:caps w:val="0"/>
          <w:color w:val="232323"/>
          <w:spacing w:val="0"/>
          <w:sz w:val="28"/>
          <w:szCs w:val="28"/>
          <w:bdr w:val="none" w:color="auto" w:sz="0" w:space="0"/>
          <w:shd w:val="clear" w:fill="FFFFFF"/>
        </w:rPr>
        <w:t>家，县居家养老服务中心</w:t>
      </w:r>
      <w:r>
        <w:rPr>
          <w:rFonts w:hint="default" w:ascii="Times New Roman" w:hAnsi="Times New Roman" w:eastAsia="宋体" w:cs="Times New Roman"/>
          <w:i w:val="0"/>
          <w:iCs w:val="0"/>
          <w:caps w:val="0"/>
          <w:color w:val="232323"/>
          <w:spacing w:val="0"/>
          <w:sz w:val="28"/>
          <w:szCs w:val="28"/>
          <w:bdr w:val="none" w:color="auto" w:sz="0" w:space="0"/>
          <w:shd w:val="clear" w:fill="FFFFFF"/>
        </w:rPr>
        <w:t>1</w:t>
      </w:r>
      <w:r>
        <w:rPr>
          <w:rFonts w:hint="eastAsia" w:ascii="宋体" w:hAnsi="宋体" w:eastAsia="宋体" w:cs="宋体"/>
          <w:i w:val="0"/>
          <w:iCs w:val="0"/>
          <w:caps w:val="0"/>
          <w:color w:val="232323"/>
          <w:spacing w:val="0"/>
          <w:sz w:val="28"/>
          <w:szCs w:val="28"/>
          <w:bdr w:val="none" w:color="auto" w:sz="0" w:space="0"/>
          <w:shd w:val="clear" w:fill="FFFFFF"/>
        </w:rPr>
        <w:t>个，为夯实养老基础设施，县民政局积极推动多个普惠养老项目立项与建设，前瞻性地引导与推动民营资本发展隆回养老事业。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5</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、县政务中心划拨县民政局婚姻登记中心办公场地不足</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平米，未达到省民政厅规定的婚姻登记中心创</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A</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办公场地大于</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平米的基本标准，一定程度上制约了婚姻登记管理、星级窗口建设和便民服务的发展。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七、存在的主要问题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sz w:val="28"/>
          <w:szCs w:val="28"/>
          <w:bdr w:val="none" w:color="auto" w:sz="0" w:space="0"/>
          <w:shd w:val="clear" w:fill="FFFFFF"/>
        </w:rPr>
        <w:t>        （一）预算执行方面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         </w:t>
      </w:r>
      <w:r>
        <w:rPr>
          <w:rFonts w:hint="default" w:ascii="Times New Roman" w:hAnsi="Times New Roman" w:eastAsia="微软雅黑" w:cs="Times New Roman"/>
          <w:b/>
          <w:bCs/>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、人员编制差异</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 ：县编办、县人社局核定县民政局机关行政事业编制合计</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36</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年度末全局在职在岗干部职工</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79</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人，其中行政机关在岗</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8</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人，其他事业编制在岗</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6</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人，工勤人员在岗</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年度末人员实际超编</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43</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人，在职人员控制率为</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219</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4</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，人员编制差异较大。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232323"/>
          <w:spacing w:val="0"/>
          <w:sz w:val="21"/>
          <w:szCs w:val="21"/>
        </w:rPr>
      </w:pPr>
      <w:r>
        <w:rPr>
          <w:rFonts w:hint="default" w:ascii="等线" w:hAnsi="等线" w:eastAsia="等线" w:cs="等线"/>
          <w:i w:val="0"/>
          <w:iCs w:val="0"/>
          <w:caps w:val="0"/>
          <w:color w:val="232323"/>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 </w:t>
      </w:r>
      <w:r>
        <w:rPr>
          <w:rFonts w:hint="default" w:ascii="Times New Roman" w:hAnsi="Times New Roman" w:eastAsia="微软雅黑" w:cs="Times New Roman"/>
          <w:b/>
          <w:bCs/>
          <w:i w:val="0"/>
          <w:iCs w:val="0"/>
          <w:caps w:val="0"/>
          <w:color w:val="232323"/>
          <w:spacing w:val="0"/>
          <w:kern w:val="0"/>
          <w:sz w:val="28"/>
          <w:szCs w:val="28"/>
          <w:bdr w:val="none" w:color="auto" w:sz="0" w:space="0"/>
          <w:shd w:val="clear" w:fill="FFFFFF"/>
          <w:lang w:val="en-US" w:eastAsia="zh-CN" w:bidi="ar"/>
        </w:rPr>
        <w:t>2</w:t>
      </w: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、人员借调现象：</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年度末县民政局内部跨部门借调使用人员合计</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38</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人，基本属长期易岗借调。大量的人员借调使用打破了原有的正式的组织编制与职能职责界限，可能导致部门、岗位与人员之间的责任边界模糊、串联与推诿现象，不利于维持组织结构和编制政策的组织严肃性。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32323"/>
          <w:spacing w:val="0"/>
          <w:sz w:val="21"/>
          <w:szCs w:val="21"/>
        </w:rPr>
      </w:pPr>
      <w:r>
        <w:rPr>
          <w:rFonts w:ascii="等线 Light" w:hAnsi="等线 Light" w:eastAsia="等线 Light" w:cs="等线 Light"/>
          <w:i w:val="0"/>
          <w:iCs w:val="0"/>
          <w:caps w:val="0"/>
          <w:color w:val="232323"/>
          <w:spacing w:val="0"/>
          <w:sz w:val="24"/>
          <w:szCs w:val="24"/>
          <w:bdr w:val="none" w:color="auto" w:sz="0" w:space="0"/>
          <w:shd w:val="clear" w:fill="FFFFFF"/>
        </w:rPr>
        <w:t> </w:t>
      </w:r>
      <w:r>
        <w:rPr>
          <w:rFonts w:hint="default" w:ascii="等线 Light" w:hAnsi="等线 Light" w:eastAsia="等线 Light" w:cs="等线 Light"/>
          <w:i w:val="0"/>
          <w:iCs w:val="0"/>
          <w:caps w:val="0"/>
          <w:color w:val="232323"/>
          <w:spacing w:val="0"/>
          <w:sz w:val="24"/>
          <w:szCs w:val="24"/>
          <w:bdr w:val="none" w:color="auto" w:sz="0" w:space="0"/>
          <w:shd w:val="clear" w:fill="FFFFFF"/>
        </w:rPr>
        <w:t>     </w:t>
      </w:r>
      <w:r>
        <w:rPr>
          <w:rFonts w:hint="default" w:ascii="Times New Roman" w:hAnsi="Times New Roman" w:eastAsia="微软雅黑" w:cs="Times New Roman"/>
          <w:b/>
          <w:bCs/>
          <w:i w:val="0"/>
          <w:iCs w:val="0"/>
          <w:caps w:val="0"/>
          <w:color w:val="232323"/>
          <w:spacing w:val="0"/>
          <w:sz w:val="28"/>
          <w:szCs w:val="28"/>
          <w:bdr w:val="none" w:color="auto" w:sz="0" w:space="0"/>
          <w:shd w:val="clear" w:fill="FFFFFF"/>
        </w:rPr>
        <w:t>3</w:t>
      </w:r>
      <w:r>
        <w:rPr>
          <w:rFonts w:hint="eastAsia" w:ascii="宋体" w:hAnsi="宋体" w:eastAsia="宋体" w:cs="宋体"/>
          <w:b/>
          <w:bCs/>
          <w:i w:val="0"/>
          <w:iCs w:val="0"/>
          <w:caps w:val="0"/>
          <w:color w:val="232323"/>
          <w:spacing w:val="0"/>
          <w:sz w:val="28"/>
          <w:szCs w:val="28"/>
          <w:bdr w:val="none" w:color="auto" w:sz="0" w:space="0"/>
          <w:shd w:val="clear" w:fill="FFFFFF"/>
        </w:rPr>
        <w:t>、工作超负荷运转：</w:t>
      </w:r>
      <w:bookmarkStart w:id="11" w:name="_Hlk107995601"/>
      <w:bookmarkEnd w:id="11"/>
      <w:r>
        <w:rPr>
          <w:rFonts w:hint="eastAsia" w:ascii="宋体" w:hAnsi="宋体" w:eastAsia="宋体" w:cs="宋体"/>
          <w:i w:val="0"/>
          <w:iCs w:val="0"/>
          <w:caps w:val="0"/>
          <w:color w:val="232323"/>
          <w:spacing w:val="0"/>
          <w:sz w:val="28"/>
          <w:szCs w:val="28"/>
          <w:bdr w:val="none" w:color="auto" w:sz="0" w:space="0"/>
          <w:shd w:val="clear" w:fill="FFFFFF"/>
        </w:rPr>
        <w:t>有些部门（如救助管理站）的编制仍然沿用八十年代的编制数，有些部门存在工作超负荷运转现象。如婚姻登记管理工作从乡镇统一归口到县民政局</w:t>
      </w:r>
      <w:bookmarkStart w:id="12" w:name="_Hlk107993183"/>
      <w:r>
        <w:rPr>
          <w:rFonts w:hint="eastAsia" w:ascii="宋体" w:hAnsi="宋体" w:eastAsia="宋体" w:cs="宋体"/>
          <w:i w:val="0"/>
          <w:iCs w:val="0"/>
          <w:caps w:val="0"/>
          <w:color w:val="232323"/>
          <w:spacing w:val="0"/>
          <w:sz w:val="28"/>
          <w:szCs w:val="28"/>
          <w:u w:val="none"/>
          <w:bdr w:val="none" w:color="auto" w:sz="0" w:space="0"/>
          <w:shd w:val="clear" w:fill="FFFFFF"/>
        </w:rPr>
        <w:t>社会事务股</w:t>
      </w:r>
      <w:bookmarkEnd w:id="12"/>
      <w:r>
        <w:rPr>
          <w:rFonts w:hint="eastAsia" w:ascii="宋体" w:hAnsi="宋体" w:eastAsia="宋体" w:cs="宋体"/>
          <w:i w:val="0"/>
          <w:iCs w:val="0"/>
          <w:caps w:val="0"/>
          <w:color w:val="232323"/>
          <w:spacing w:val="0"/>
          <w:sz w:val="28"/>
          <w:szCs w:val="28"/>
          <w:bdr w:val="none" w:color="auto" w:sz="0" w:space="0"/>
          <w:shd w:val="clear" w:fill="FFFFFF"/>
        </w:rPr>
        <w:t>的职能工作，而编办核定社会事务股的编制数是</w:t>
      </w:r>
      <w:r>
        <w:rPr>
          <w:rFonts w:hint="default" w:ascii="Times New Roman" w:hAnsi="Times New Roman" w:eastAsia="宋体" w:cs="Times New Roman"/>
          <w:i w:val="0"/>
          <w:iCs w:val="0"/>
          <w:caps w:val="0"/>
          <w:color w:val="232323"/>
          <w:spacing w:val="0"/>
          <w:sz w:val="28"/>
          <w:szCs w:val="28"/>
          <w:bdr w:val="none" w:color="auto" w:sz="0" w:space="0"/>
          <w:shd w:val="clear" w:fill="FFFFFF"/>
        </w:rPr>
        <w:t>1</w:t>
      </w:r>
      <w:r>
        <w:rPr>
          <w:rFonts w:hint="eastAsia" w:ascii="宋体" w:hAnsi="宋体" w:eastAsia="宋体" w:cs="宋体"/>
          <w:i w:val="0"/>
          <w:iCs w:val="0"/>
          <w:caps w:val="0"/>
          <w:color w:val="232323"/>
          <w:spacing w:val="0"/>
          <w:sz w:val="28"/>
          <w:szCs w:val="28"/>
          <w:bdr w:val="none" w:color="auto" w:sz="0" w:space="0"/>
          <w:shd w:val="clear" w:fill="FFFFFF"/>
        </w:rPr>
        <w:t>名，县民政局根据工作需要，增设</w:t>
      </w:r>
      <w:bookmarkStart w:id="13" w:name="_Hlk107994826"/>
      <w:r>
        <w:rPr>
          <w:rFonts w:hint="eastAsia" w:ascii="宋体" w:hAnsi="宋体" w:eastAsia="宋体" w:cs="宋体"/>
          <w:i w:val="0"/>
          <w:iCs w:val="0"/>
          <w:caps w:val="0"/>
          <w:color w:val="232323"/>
          <w:spacing w:val="0"/>
          <w:sz w:val="28"/>
          <w:szCs w:val="28"/>
          <w:u w:val="none"/>
          <w:bdr w:val="none" w:color="auto" w:sz="0" w:space="0"/>
          <w:shd w:val="clear" w:fill="FFFFFF"/>
        </w:rPr>
        <w:t>婚姻登记中心</w:t>
      </w:r>
      <w:bookmarkEnd w:id="13"/>
      <w:r>
        <w:rPr>
          <w:rFonts w:hint="eastAsia" w:ascii="宋体" w:hAnsi="宋体" w:eastAsia="宋体" w:cs="宋体"/>
          <w:i w:val="0"/>
          <w:iCs w:val="0"/>
          <w:caps w:val="0"/>
          <w:color w:val="232323"/>
          <w:spacing w:val="0"/>
          <w:sz w:val="28"/>
          <w:szCs w:val="28"/>
          <w:bdr w:val="none" w:color="auto" w:sz="0" w:space="0"/>
          <w:shd w:val="clear" w:fill="FFFFFF"/>
        </w:rPr>
        <w:t>，从社会福利服务中心等二级机构借调</w:t>
      </w:r>
      <w:r>
        <w:rPr>
          <w:rFonts w:hint="default" w:ascii="Times New Roman" w:hAnsi="Times New Roman" w:eastAsia="宋体" w:cs="Times New Roman"/>
          <w:i w:val="0"/>
          <w:iCs w:val="0"/>
          <w:caps w:val="0"/>
          <w:color w:val="232323"/>
          <w:spacing w:val="0"/>
          <w:sz w:val="28"/>
          <w:szCs w:val="28"/>
          <w:bdr w:val="none" w:color="auto" w:sz="0" w:space="0"/>
          <w:shd w:val="clear" w:fill="FFFFFF"/>
        </w:rPr>
        <w:t>3</w:t>
      </w:r>
      <w:r>
        <w:rPr>
          <w:rFonts w:hint="eastAsia" w:ascii="宋体" w:hAnsi="宋体" w:eastAsia="宋体" w:cs="宋体"/>
          <w:i w:val="0"/>
          <w:iCs w:val="0"/>
          <w:caps w:val="0"/>
          <w:color w:val="232323"/>
          <w:spacing w:val="0"/>
          <w:sz w:val="28"/>
          <w:szCs w:val="28"/>
          <w:bdr w:val="none" w:color="auto" w:sz="0" w:space="0"/>
          <w:shd w:val="clear" w:fill="FFFFFF"/>
        </w:rPr>
        <w:t>人负责婚姻登记中心工作，</w:t>
      </w:r>
      <w:r>
        <w:rPr>
          <w:rFonts w:hint="default" w:ascii="Times New Roman" w:hAnsi="Times New Roman" w:eastAsia="宋体" w:cs="Times New Roman"/>
          <w:i w:val="0"/>
          <w:iCs w:val="0"/>
          <w:caps w:val="0"/>
          <w:color w:val="232323"/>
          <w:spacing w:val="0"/>
          <w:sz w:val="28"/>
          <w:szCs w:val="28"/>
          <w:bdr w:val="none" w:color="auto" w:sz="0" w:space="0"/>
          <w:shd w:val="clear" w:fill="FFFFFF"/>
        </w:rPr>
        <w:t>2021</w:t>
      </w:r>
      <w:r>
        <w:rPr>
          <w:rFonts w:hint="eastAsia" w:ascii="宋体" w:hAnsi="宋体" w:eastAsia="宋体" w:cs="宋体"/>
          <w:i w:val="0"/>
          <w:iCs w:val="0"/>
          <w:caps w:val="0"/>
          <w:color w:val="232323"/>
          <w:spacing w:val="0"/>
          <w:sz w:val="28"/>
          <w:szCs w:val="28"/>
          <w:bdr w:val="none" w:color="auto" w:sz="0" w:space="0"/>
          <w:shd w:val="clear" w:fill="FFFFFF"/>
        </w:rPr>
        <w:t>年度办理婚姻登记</w:t>
      </w:r>
      <w:r>
        <w:rPr>
          <w:rFonts w:hint="default" w:ascii="Times New Roman" w:hAnsi="Times New Roman" w:eastAsia="宋体" w:cs="Times New Roman"/>
          <w:i w:val="0"/>
          <w:iCs w:val="0"/>
          <w:caps w:val="0"/>
          <w:color w:val="232323"/>
          <w:spacing w:val="0"/>
          <w:sz w:val="28"/>
          <w:szCs w:val="28"/>
          <w:bdr w:val="none" w:color="auto" w:sz="0" w:space="0"/>
          <w:shd w:val="clear" w:fill="FFFFFF"/>
        </w:rPr>
        <w:t>6679</w:t>
      </w:r>
      <w:r>
        <w:rPr>
          <w:rFonts w:hint="eastAsia" w:ascii="宋体" w:hAnsi="宋体" w:eastAsia="宋体" w:cs="宋体"/>
          <w:i w:val="0"/>
          <w:iCs w:val="0"/>
          <w:caps w:val="0"/>
          <w:color w:val="232323"/>
          <w:spacing w:val="0"/>
          <w:sz w:val="28"/>
          <w:szCs w:val="28"/>
          <w:bdr w:val="none" w:color="auto" w:sz="0" w:space="0"/>
          <w:shd w:val="clear" w:fill="FFFFFF"/>
        </w:rPr>
        <w:t>对，离婚登记调解服务</w:t>
      </w:r>
      <w:r>
        <w:rPr>
          <w:rFonts w:hint="default" w:ascii="Times New Roman" w:hAnsi="Times New Roman" w:eastAsia="宋体" w:cs="Times New Roman"/>
          <w:i w:val="0"/>
          <w:iCs w:val="0"/>
          <w:caps w:val="0"/>
          <w:color w:val="232323"/>
          <w:spacing w:val="0"/>
          <w:sz w:val="28"/>
          <w:szCs w:val="28"/>
          <w:bdr w:val="none" w:color="auto" w:sz="0" w:space="0"/>
          <w:shd w:val="clear" w:fill="FFFFFF"/>
        </w:rPr>
        <w:t>8</w:t>
      </w:r>
      <w:r>
        <w:rPr>
          <w:rFonts w:hint="default" w:ascii="Times New Roman" w:hAnsi="Times New Roman" w:eastAsia="微软雅黑" w:cs="Times New Roman"/>
          <w:i w:val="0"/>
          <w:iCs w:val="0"/>
          <w:caps w:val="0"/>
          <w:color w:val="232323"/>
          <w:spacing w:val="0"/>
          <w:sz w:val="28"/>
          <w:szCs w:val="28"/>
          <w:bdr w:val="none" w:color="auto" w:sz="0" w:space="0"/>
          <w:shd w:val="clear" w:fill="FFFFFF"/>
        </w:rPr>
        <w:t>1</w:t>
      </w:r>
      <w:r>
        <w:rPr>
          <w:rFonts w:hint="eastAsia" w:ascii="宋体" w:hAnsi="宋体" w:eastAsia="宋体" w:cs="宋体"/>
          <w:i w:val="0"/>
          <w:iCs w:val="0"/>
          <w:caps w:val="0"/>
          <w:color w:val="232323"/>
          <w:spacing w:val="0"/>
          <w:sz w:val="28"/>
          <w:szCs w:val="28"/>
          <w:bdr w:val="none" w:color="auto" w:sz="0" w:space="0"/>
          <w:shd w:val="clear" w:fill="FFFFFF"/>
        </w:rPr>
        <w:t>对，调解成功</w:t>
      </w:r>
      <w:r>
        <w:rPr>
          <w:rFonts w:hint="default" w:ascii="Times New Roman" w:hAnsi="Times New Roman" w:eastAsia="宋体" w:cs="Times New Roman"/>
          <w:i w:val="0"/>
          <w:iCs w:val="0"/>
          <w:caps w:val="0"/>
          <w:color w:val="232323"/>
          <w:spacing w:val="0"/>
          <w:sz w:val="28"/>
          <w:szCs w:val="28"/>
          <w:bdr w:val="none" w:color="auto" w:sz="0" w:space="0"/>
          <w:shd w:val="clear" w:fill="FFFFFF"/>
        </w:rPr>
        <w:t>69</w:t>
      </w:r>
      <w:r>
        <w:rPr>
          <w:rFonts w:hint="eastAsia" w:ascii="宋体" w:hAnsi="宋体" w:eastAsia="宋体" w:cs="宋体"/>
          <w:i w:val="0"/>
          <w:iCs w:val="0"/>
          <w:caps w:val="0"/>
          <w:color w:val="232323"/>
          <w:spacing w:val="0"/>
          <w:sz w:val="28"/>
          <w:szCs w:val="28"/>
          <w:bdr w:val="none" w:color="auto" w:sz="0" w:space="0"/>
          <w:shd w:val="clear" w:fill="FFFFFF"/>
        </w:rPr>
        <w:t>对，加上婚姻登记档案管理工作，婚姻登记中心工作量大、人员缺少、力量薄弱，该项工作存在事实上的超负荷现象。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sz w:val="28"/>
          <w:szCs w:val="28"/>
          <w:bdr w:val="none" w:color="auto" w:sz="0" w:space="0"/>
          <w:shd w:val="clear" w:fill="FFFFFF"/>
        </w:rPr>
        <w:t>（二）预算管理方面：</w:t>
      </w:r>
      <w:r>
        <w:rPr>
          <w:rFonts w:hint="eastAsia" w:ascii="宋体" w:hAnsi="宋体" w:eastAsia="宋体" w:cs="宋体"/>
          <w:i w:val="0"/>
          <w:iCs w:val="0"/>
          <w:caps w:val="0"/>
          <w:color w:val="23232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sz w:val="28"/>
          <w:szCs w:val="28"/>
          <w:bdr w:val="none" w:color="auto" w:sz="0" w:space="0"/>
          <w:shd w:val="clear" w:fill="FFFFFF"/>
        </w:rPr>
        <w:t>1</w:t>
      </w:r>
      <w:r>
        <w:rPr>
          <w:rFonts w:hint="eastAsia" w:ascii="宋体" w:hAnsi="宋体" w:eastAsia="宋体" w:cs="宋体"/>
          <w:i w:val="0"/>
          <w:iCs w:val="0"/>
          <w:caps w:val="0"/>
          <w:color w:val="232323"/>
          <w:spacing w:val="0"/>
          <w:sz w:val="28"/>
          <w:szCs w:val="28"/>
          <w:bdr w:val="none" w:color="auto" w:sz="0" w:space="0"/>
          <w:shd w:val="clear" w:fill="FFFFFF"/>
        </w:rPr>
        <w:t>、存在财务制度执行不到位的现象：民政局机关</w:t>
      </w:r>
      <w:r>
        <w:rPr>
          <w:rFonts w:hint="default" w:ascii="Times New Roman" w:hAnsi="Times New Roman" w:eastAsia="宋体" w:cs="Times New Roman"/>
          <w:i w:val="0"/>
          <w:iCs w:val="0"/>
          <w:caps w:val="0"/>
          <w:color w:val="232323"/>
          <w:spacing w:val="0"/>
          <w:sz w:val="28"/>
          <w:szCs w:val="28"/>
          <w:bdr w:val="none" w:color="auto" w:sz="0" w:space="0"/>
          <w:shd w:val="clear" w:fill="FFFFFF"/>
        </w:rPr>
        <w:t>2021</w:t>
      </w:r>
      <w:r>
        <w:rPr>
          <w:rFonts w:hint="eastAsia" w:ascii="宋体" w:hAnsi="宋体" w:eastAsia="宋体" w:cs="宋体"/>
          <w:i w:val="0"/>
          <w:iCs w:val="0"/>
          <w:caps w:val="0"/>
          <w:color w:val="232323"/>
          <w:spacing w:val="0"/>
          <w:sz w:val="28"/>
          <w:szCs w:val="28"/>
          <w:bdr w:val="none" w:color="auto" w:sz="0" w:space="0"/>
          <w:shd w:val="clear" w:fill="FFFFFF"/>
        </w:rPr>
        <w:t>年末科目余额表其他应收款科目中多个账户，没有加强应收与暂付款项的管理，未严格控制规模，未及时进行清理，存在长期挂帐的现象，违反了《行政单位财务规则》（财政部令第</w:t>
      </w:r>
      <w:r>
        <w:rPr>
          <w:rFonts w:hint="default" w:ascii="Times New Roman" w:hAnsi="Times New Roman" w:eastAsia="宋体" w:cs="Times New Roman"/>
          <w:i w:val="0"/>
          <w:iCs w:val="0"/>
          <w:caps w:val="0"/>
          <w:color w:val="232323"/>
          <w:spacing w:val="0"/>
          <w:sz w:val="28"/>
          <w:szCs w:val="28"/>
          <w:bdr w:val="none" w:color="auto" w:sz="0" w:space="0"/>
          <w:shd w:val="clear" w:fill="FFFFFF"/>
        </w:rPr>
        <w:t>71</w:t>
      </w:r>
      <w:r>
        <w:rPr>
          <w:rFonts w:hint="eastAsia" w:ascii="宋体" w:hAnsi="宋体" w:eastAsia="宋体" w:cs="宋体"/>
          <w:i w:val="0"/>
          <w:iCs w:val="0"/>
          <w:caps w:val="0"/>
          <w:color w:val="232323"/>
          <w:spacing w:val="0"/>
          <w:sz w:val="28"/>
          <w:szCs w:val="28"/>
          <w:bdr w:val="none" w:color="auto" w:sz="0" w:space="0"/>
          <w:shd w:val="clear" w:fill="FFFFFF"/>
        </w:rPr>
        <w:t>号）有关条文的规定。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、存在未按规定取得发票现象：</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月第</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号凭证，支付食用米、油及运费共</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209840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元，供货单位、出票单位、实际收款人与合同不符，违反了《发票管理办法》相关条文的规定。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sz w:val="28"/>
          <w:szCs w:val="28"/>
          <w:bdr w:val="none" w:color="auto" w:sz="0" w:space="0"/>
          <w:shd w:val="clear" w:fill="FFFFFF"/>
        </w:rPr>
        <w:t>3</w:t>
      </w:r>
      <w:r>
        <w:rPr>
          <w:rFonts w:hint="eastAsia" w:ascii="宋体" w:hAnsi="宋体" w:eastAsia="宋体" w:cs="宋体"/>
          <w:i w:val="0"/>
          <w:iCs w:val="0"/>
          <w:caps w:val="0"/>
          <w:color w:val="232323"/>
          <w:spacing w:val="0"/>
          <w:sz w:val="28"/>
          <w:szCs w:val="28"/>
          <w:bdr w:val="none" w:color="auto" w:sz="0" w:space="0"/>
          <w:shd w:val="clear" w:fill="FFFFFF"/>
        </w:rPr>
        <w:t>、存在专款他用现象：县委巡视组对县民政局巡视反馈整改问题清单表明，县民政局</w:t>
      </w:r>
      <w:r>
        <w:rPr>
          <w:rFonts w:hint="default" w:ascii="Times New Roman" w:hAnsi="Times New Roman" w:eastAsia="宋体" w:cs="Times New Roman"/>
          <w:i w:val="0"/>
          <w:iCs w:val="0"/>
          <w:caps w:val="0"/>
          <w:color w:val="232323"/>
          <w:spacing w:val="0"/>
          <w:sz w:val="28"/>
          <w:szCs w:val="28"/>
          <w:bdr w:val="none" w:color="auto" w:sz="0" w:space="0"/>
          <w:shd w:val="clear" w:fill="FFFFFF"/>
        </w:rPr>
        <w:t>2021</w:t>
      </w:r>
      <w:r>
        <w:rPr>
          <w:rFonts w:hint="eastAsia" w:ascii="宋体" w:hAnsi="宋体" w:eastAsia="宋体" w:cs="宋体"/>
          <w:i w:val="0"/>
          <w:iCs w:val="0"/>
          <w:caps w:val="0"/>
          <w:color w:val="232323"/>
          <w:spacing w:val="0"/>
          <w:sz w:val="28"/>
          <w:szCs w:val="28"/>
          <w:bdr w:val="none" w:color="auto" w:sz="0" w:space="0"/>
          <w:shd w:val="clear" w:fill="FFFFFF"/>
        </w:rPr>
        <w:t>年度从福彩公益资金中解决联点村粮食安全款项</w:t>
      </w:r>
      <w:r>
        <w:rPr>
          <w:rFonts w:hint="default" w:ascii="Times New Roman" w:hAnsi="Times New Roman" w:eastAsia="宋体" w:cs="Times New Roman"/>
          <w:i w:val="0"/>
          <w:iCs w:val="0"/>
          <w:caps w:val="0"/>
          <w:color w:val="232323"/>
          <w:spacing w:val="0"/>
          <w:sz w:val="28"/>
          <w:szCs w:val="28"/>
          <w:bdr w:val="none" w:color="auto" w:sz="0" w:space="0"/>
          <w:shd w:val="clear" w:fill="FFFFFF"/>
        </w:rPr>
        <w:t>3</w:t>
      </w:r>
      <w:r>
        <w:rPr>
          <w:rFonts w:hint="eastAsia" w:ascii="宋体" w:hAnsi="宋体" w:eastAsia="宋体" w:cs="宋体"/>
          <w:i w:val="0"/>
          <w:iCs w:val="0"/>
          <w:caps w:val="0"/>
          <w:color w:val="232323"/>
          <w:spacing w:val="0"/>
          <w:sz w:val="28"/>
          <w:szCs w:val="28"/>
          <w:bdr w:val="none" w:color="auto" w:sz="0" w:space="0"/>
          <w:shd w:val="clear" w:fill="FFFFFF"/>
        </w:rPr>
        <w:t>万元，从社会救助资金中列支</w:t>
      </w:r>
      <w:r>
        <w:rPr>
          <w:rFonts w:hint="default" w:ascii="Times New Roman" w:hAnsi="Times New Roman" w:eastAsia="宋体" w:cs="Times New Roman"/>
          <w:i w:val="0"/>
          <w:iCs w:val="0"/>
          <w:caps w:val="0"/>
          <w:color w:val="232323"/>
          <w:spacing w:val="0"/>
          <w:sz w:val="28"/>
          <w:szCs w:val="28"/>
          <w:bdr w:val="none" w:color="auto" w:sz="0" w:space="0"/>
          <w:shd w:val="clear" w:fill="FFFFFF"/>
        </w:rPr>
        <w:t>5</w:t>
      </w:r>
      <w:r>
        <w:rPr>
          <w:rFonts w:hint="eastAsia" w:ascii="宋体" w:hAnsi="宋体" w:eastAsia="宋体" w:cs="宋体"/>
          <w:i w:val="0"/>
          <w:iCs w:val="0"/>
          <w:caps w:val="0"/>
          <w:color w:val="232323"/>
          <w:spacing w:val="0"/>
          <w:sz w:val="28"/>
          <w:szCs w:val="28"/>
          <w:bdr w:val="none" w:color="auto" w:sz="0" w:space="0"/>
          <w:shd w:val="clear" w:fill="FFFFFF"/>
        </w:rPr>
        <w:t>万元用于社区创卫，违反了专款专用的财务管理原则。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0" w:right="0" w:hanging="885"/>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微软雅黑" w:cs="Times New Roman"/>
          <w:b/>
          <w:bCs/>
          <w:i w:val="0"/>
          <w:iCs w:val="0"/>
          <w:caps w:val="0"/>
          <w:color w:val="232323"/>
          <w:spacing w:val="0"/>
          <w:sz w:val="28"/>
          <w:szCs w:val="28"/>
          <w:bdr w:val="none" w:color="auto" w:sz="0" w:space="0"/>
          <w:shd w:val="clear" w:fill="FFFFFF"/>
        </w:rPr>
        <w:t>（三） </w:t>
      </w:r>
      <w:r>
        <w:rPr>
          <w:rFonts w:hint="eastAsia" w:ascii="宋体" w:hAnsi="宋体" w:eastAsia="宋体" w:cs="宋体"/>
          <w:b/>
          <w:bCs/>
          <w:i w:val="0"/>
          <w:iCs w:val="0"/>
          <w:caps w:val="0"/>
          <w:color w:val="232323"/>
          <w:spacing w:val="0"/>
          <w:sz w:val="28"/>
          <w:szCs w:val="28"/>
          <w:bdr w:val="none" w:color="auto" w:sz="0" w:space="0"/>
          <w:shd w:val="clear" w:fill="FFFFFF"/>
        </w:rPr>
        <w:t>国有资产管理方面：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隆回县儿童福利院综合楼项目总投资达</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9</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00</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余万元，分阶段建设与投入使用。而新的政策（</w:t>
      </w:r>
      <w:bookmarkStart w:id="14" w:name="_Hlk110846928"/>
      <w:r>
        <w:rPr>
          <w:rFonts w:hint="eastAsia" w:ascii="宋体" w:hAnsi="宋体" w:eastAsia="宋体" w:cs="宋体"/>
          <w:i w:val="0"/>
          <w:iCs w:val="0"/>
          <w:caps w:val="0"/>
          <w:color w:val="232323"/>
          <w:spacing w:val="0"/>
          <w:kern w:val="0"/>
          <w:sz w:val="28"/>
          <w:szCs w:val="28"/>
          <w:u w:val="none"/>
          <w:bdr w:val="none" w:color="auto" w:sz="0" w:space="0"/>
          <w:shd w:val="clear" w:fill="FFFFFF"/>
          <w:lang w:val="en-US" w:eastAsia="zh-CN" w:bidi="ar"/>
        </w:rPr>
        <w:t>湘民发〔</w:t>
      </w:r>
      <w:r>
        <w:rPr>
          <w:rFonts w:hint="default" w:ascii="Times New Roman" w:hAnsi="Times New Roman" w:eastAsia="宋体" w:cs="Times New Roman"/>
          <w:i w:val="0"/>
          <w:iCs w:val="0"/>
          <w:caps w:val="0"/>
          <w:color w:val="232323"/>
          <w:spacing w:val="0"/>
          <w:kern w:val="0"/>
          <w:sz w:val="28"/>
          <w:szCs w:val="28"/>
          <w:u w:val="none"/>
          <w:bdr w:val="none" w:color="auto" w:sz="0" w:space="0"/>
          <w:shd w:val="clear" w:fill="FFFFFF"/>
          <w:lang w:val="en-US" w:eastAsia="zh-CN" w:bidi="ar"/>
        </w:rPr>
        <w:t>202</w:t>
      </w:r>
      <w:bookmarkEnd w:id="14"/>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36</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号文件、邵民发〔</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w:t>
      </w:r>
      <w:r>
        <w:rPr>
          <w:rFonts w:hint="default" w:ascii="Times New Roman" w:hAnsi="Times New Roman" w:eastAsia="微软雅黑" w:cs="Times New Roman"/>
          <w:i w:val="0"/>
          <w:iCs w:val="0"/>
          <w:caps w:val="0"/>
          <w:color w:val="232323"/>
          <w:spacing w:val="0"/>
          <w:kern w:val="0"/>
          <w:sz w:val="28"/>
          <w:szCs w:val="28"/>
          <w:bdr w:val="none" w:color="auto" w:sz="0" w:space="0"/>
          <w:shd w:val="clear" w:fill="FFFFFF"/>
          <w:lang w:val="en-US" w:eastAsia="zh-CN" w:bidi="ar"/>
        </w:rPr>
        <w:t>5</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号文件）要求县级儿童福利院撤销转型，截止</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2022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年</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7</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月必须办理好儿童及相关档案移交工作。政策的变动无疑会给刚建成投入使用的县儿童福利院综合楼带来资产闲置与减值风险。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（四） 职责履行方面：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b/>
          <w:bCs/>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局机关办公大楼没有楼层功能分布图，没有配置职能股室以及内设各二级机构职能的说明，没有设置办事指南与办事流程图，缺少便民办事的印刷宣传资料，不便于引导群众办事，不利于提高办事效率。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2</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、局机关便民办事首问责任制没有较好地严格落实到位。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sz w:val="28"/>
          <w:szCs w:val="28"/>
          <w:bdr w:val="none" w:color="auto" w:sz="0" w:space="0"/>
          <w:shd w:val="clear" w:fill="FFFFFF"/>
        </w:rPr>
        <w:t>        </w:t>
      </w:r>
      <w:r>
        <w:rPr>
          <w:rFonts w:hint="default" w:ascii="Times New Roman" w:hAnsi="Times New Roman" w:eastAsia="宋体" w:cs="Times New Roman"/>
          <w:i w:val="0"/>
          <w:iCs w:val="0"/>
          <w:caps w:val="0"/>
          <w:color w:val="232323"/>
          <w:spacing w:val="0"/>
          <w:sz w:val="28"/>
          <w:szCs w:val="28"/>
          <w:bdr w:val="none" w:color="auto" w:sz="0" w:space="0"/>
          <w:shd w:val="clear" w:fill="FFFFFF"/>
        </w:rPr>
        <w:t>3</w:t>
      </w:r>
      <w:r>
        <w:rPr>
          <w:rFonts w:hint="eastAsia" w:ascii="宋体" w:hAnsi="宋体" w:eastAsia="宋体" w:cs="宋体"/>
          <w:i w:val="0"/>
          <w:iCs w:val="0"/>
          <w:caps w:val="0"/>
          <w:color w:val="232323"/>
          <w:spacing w:val="0"/>
          <w:sz w:val="28"/>
          <w:szCs w:val="28"/>
          <w:bdr w:val="none" w:color="auto" w:sz="0" w:space="0"/>
          <w:shd w:val="clear" w:fill="FFFFFF"/>
        </w:rPr>
        <w:t>、局机关规划财务股人员财务业务不熟练，需请人做账；</w:t>
      </w:r>
      <w:r>
        <w:rPr>
          <w:rFonts w:hint="default" w:ascii="Times New Roman" w:hAnsi="Times New Roman" w:eastAsia="宋体" w:cs="Times New Roman"/>
          <w:i w:val="0"/>
          <w:iCs w:val="0"/>
          <w:caps w:val="0"/>
          <w:color w:val="232323"/>
          <w:spacing w:val="0"/>
          <w:sz w:val="28"/>
          <w:szCs w:val="28"/>
          <w:bdr w:val="none" w:color="auto" w:sz="0" w:space="0"/>
          <w:shd w:val="clear" w:fill="FFFFFF"/>
        </w:rPr>
        <w:t>2021</w:t>
      </w:r>
      <w:r>
        <w:rPr>
          <w:rFonts w:hint="eastAsia" w:ascii="宋体" w:hAnsi="宋体" w:eastAsia="宋体" w:cs="宋体"/>
          <w:i w:val="0"/>
          <w:iCs w:val="0"/>
          <w:caps w:val="0"/>
          <w:color w:val="232323"/>
          <w:spacing w:val="0"/>
          <w:sz w:val="28"/>
          <w:szCs w:val="28"/>
          <w:bdr w:val="none" w:color="auto" w:sz="0" w:space="0"/>
          <w:shd w:val="clear" w:fill="FFFFFF"/>
        </w:rPr>
        <w:t>年度的财务票据未按规定整理装订归档，违反财务管理制度，财务票据等档案管理滞后，存在票据损毁、遗失及其他风险。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232323"/>
          <w:spacing w:val="0"/>
          <w:sz w:val="21"/>
          <w:szCs w:val="21"/>
        </w:rPr>
      </w:pP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、北山敬老院房间信息牌没有随人员异动及时更新，部分房间信息牌信息与房间实际现住人员不一致，楼梯间以及过道窗户无防护栏，存在安全隐患。按照购买护理服务合同约定，当天应配备护工</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5</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名，现场实际护工</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4</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名，护工配备比例未达到合同约定人数。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sz w:val="28"/>
          <w:szCs w:val="28"/>
          <w:bdr w:val="none" w:color="auto" w:sz="0" w:space="0"/>
          <w:shd w:val="clear" w:fill="FFFFFF"/>
        </w:rPr>
        <w:t>（五）绩效管理方面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         </w:t>
      </w:r>
      <w:r>
        <w:rPr>
          <w:rFonts w:hint="default" w:ascii="Times New Roman" w:hAnsi="Times New Roman" w:eastAsia="宋体" w:cs="Times New Roman"/>
          <w:i w:val="0"/>
          <w:iCs w:val="0"/>
          <w:caps w:val="0"/>
          <w:color w:val="232323"/>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232323"/>
          <w:spacing w:val="0"/>
          <w:kern w:val="0"/>
          <w:sz w:val="28"/>
          <w:szCs w:val="28"/>
          <w:bdr w:val="none" w:color="auto" w:sz="0" w:space="0"/>
          <w:shd w:val="clear" w:fill="FFFFFF"/>
          <w:lang w:val="en-US" w:eastAsia="zh-CN" w:bidi="ar"/>
        </w:rPr>
        <w:t>、绩效目标设定：绩效目标及其指标值得的设定没有履行相关的严谨程序，没有展开充分的前期调研，没有经过充分的研究讨论，部门领导绩效管理意识不强、参与度不高；整体绩效目标设定不全面，绩效目标指标值可量化值比例不高，难以对全年工作及其绩效结果形成纲领性指导与评价作用。指标体系中三级指标未根据工作实际细化设置与量化考核，对经济效益、社会效益、生态效益指标的设定不清晰、不充分，未细化分解与赋权量化，缺乏可衡量性与可操作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sz w:val="28"/>
          <w:szCs w:val="28"/>
          <w:bdr w:val="none" w:color="auto" w:sz="0" w:space="0"/>
          <w:shd w:val="clear" w:fill="FFFFFF"/>
        </w:rPr>
        <w:t>        </w:t>
      </w:r>
      <w:r>
        <w:rPr>
          <w:rFonts w:hint="default" w:ascii="Times New Roman" w:hAnsi="Times New Roman" w:eastAsia="宋体" w:cs="Times New Roman"/>
          <w:i w:val="0"/>
          <w:iCs w:val="0"/>
          <w:caps w:val="0"/>
          <w:color w:val="232323"/>
          <w:spacing w:val="0"/>
          <w:sz w:val="28"/>
          <w:szCs w:val="28"/>
          <w:bdr w:val="none" w:color="auto" w:sz="0" w:space="0"/>
          <w:shd w:val="clear" w:fill="FFFFFF"/>
        </w:rPr>
        <w:t>2</w:t>
      </w:r>
      <w:r>
        <w:rPr>
          <w:rFonts w:hint="eastAsia" w:ascii="宋体" w:hAnsi="宋体" w:eastAsia="宋体" w:cs="宋体"/>
          <w:i w:val="0"/>
          <w:iCs w:val="0"/>
          <w:caps w:val="0"/>
          <w:color w:val="232323"/>
          <w:spacing w:val="0"/>
          <w:sz w:val="28"/>
          <w:szCs w:val="28"/>
          <w:bdr w:val="none" w:color="auto" w:sz="0" w:space="0"/>
          <w:shd w:val="clear" w:fill="FFFFFF"/>
        </w:rPr>
        <w:t>、绩效管理的实施：绩效管理与日常工作结合的有一定的关联；部门单位内部的管控措施、年度工作计划与绩效目标及其指标值的设定关联性不强，绩效目标与年度实际工作开展之间互相平行发展，缺乏交叉、指导与印证；部门内部绩效管理的宣传引导工作没有得到具体落实，部门职工干部财政支出绩效管理整体意识不强。这些不足的存在，导致部门单位财政支出绩效管理与实施仍然停留在简单应对阶段，难以充分发挥绩效管理应有的功能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sz w:val="28"/>
          <w:szCs w:val="28"/>
          <w:bdr w:val="none" w:color="auto" w:sz="0" w:space="0"/>
          <w:shd w:val="clear" w:fill="FFFFFF"/>
        </w:rPr>
        <w:t>        </w:t>
      </w:r>
      <w:r>
        <w:rPr>
          <w:rFonts w:hint="default" w:ascii="Times New Roman" w:hAnsi="Times New Roman" w:eastAsia="宋体" w:cs="Times New Roman"/>
          <w:i w:val="0"/>
          <w:iCs w:val="0"/>
          <w:caps w:val="0"/>
          <w:color w:val="232323"/>
          <w:spacing w:val="0"/>
          <w:sz w:val="28"/>
          <w:szCs w:val="28"/>
          <w:bdr w:val="none" w:color="auto" w:sz="0" w:space="0"/>
          <w:shd w:val="clear" w:fill="FFFFFF"/>
        </w:rPr>
        <w:t>3</w:t>
      </w:r>
      <w:r>
        <w:rPr>
          <w:rFonts w:hint="eastAsia" w:ascii="宋体" w:hAnsi="宋体" w:eastAsia="宋体" w:cs="宋体"/>
          <w:i w:val="0"/>
          <w:iCs w:val="0"/>
          <w:caps w:val="0"/>
          <w:color w:val="232323"/>
          <w:spacing w:val="0"/>
          <w:sz w:val="28"/>
          <w:szCs w:val="28"/>
          <w:bdr w:val="none" w:color="auto" w:sz="0" w:space="0"/>
          <w:shd w:val="clear" w:fill="FFFFFF"/>
        </w:rPr>
        <w:t>、绩效自评与公开：绩效自评没有对照绩效目标体系开展，以定性描述为主，绩效指标的量化评价没有得到重视与突出，部门整体支出的效益没有得到量化彰显，自评报告不符合隆财绩（</w:t>
      </w:r>
      <w:r>
        <w:rPr>
          <w:rFonts w:hint="default" w:ascii="Times New Roman" w:hAnsi="Times New Roman" w:eastAsia="宋体" w:cs="Times New Roman"/>
          <w:i w:val="0"/>
          <w:iCs w:val="0"/>
          <w:caps w:val="0"/>
          <w:color w:val="232323"/>
          <w:spacing w:val="0"/>
          <w:sz w:val="28"/>
          <w:szCs w:val="28"/>
          <w:bdr w:val="none" w:color="auto" w:sz="0" w:space="0"/>
          <w:shd w:val="clear" w:fill="FFFFFF"/>
        </w:rPr>
        <w:t>2022</w:t>
      </w:r>
      <w:r>
        <w:rPr>
          <w:rFonts w:hint="eastAsia" w:ascii="宋体" w:hAnsi="宋体" w:eastAsia="宋体" w:cs="宋体"/>
          <w:i w:val="0"/>
          <w:iCs w:val="0"/>
          <w:caps w:val="0"/>
          <w:color w:val="232323"/>
          <w:spacing w:val="0"/>
          <w:sz w:val="28"/>
          <w:szCs w:val="28"/>
          <w:bdr w:val="none" w:color="auto" w:sz="0" w:space="0"/>
          <w:shd w:val="clear" w:fill="FFFFFF"/>
        </w:rPr>
        <w:t>）</w:t>
      </w:r>
      <w:r>
        <w:rPr>
          <w:rFonts w:hint="default" w:ascii="Times New Roman" w:hAnsi="Times New Roman" w:eastAsia="宋体" w:cs="Times New Roman"/>
          <w:i w:val="0"/>
          <w:iCs w:val="0"/>
          <w:caps w:val="0"/>
          <w:color w:val="232323"/>
          <w:spacing w:val="0"/>
          <w:sz w:val="28"/>
          <w:szCs w:val="28"/>
          <w:bdr w:val="none" w:color="auto" w:sz="0" w:space="0"/>
          <w:shd w:val="clear" w:fill="FFFFFF"/>
        </w:rPr>
        <w:t>3</w:t>
      </w:r>
      <w:r>
        <w:rPr>
          <w:rFonts w:hint="eastAsia" w:ascii="宋体" w:hAnsi="宋体" w:eastAsia="宋体" w:cs="宋体"/>
          <w:i w:val="0"/>
          <w:iCs w:val="0"/>
          <w:caps w:val="0"/>
          <w:color w:val="232323"/>
          <w:spacing w:val="0"/>
          <w:sz w:val="28"/>
          <w:szCs w:val="28"/>
          <w:bdr w:val="none" w:color="auto" w:sz="0" w:space="0"/>
          <w:shd w:val="clear" w:fill="FFFFFF"/>
        </w:rPr>
        <w:t>号文件的要求，没有按要求在政府门户网站上进行财政支出绩效自评结果的信息公开。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28"/>
          <w:szCs w:val="28"/>
          <w:bdr w:val="none" w:color="auto" w:sz="0" w:space="0"/>
          <w:shd w:val="clear" w:fill="FFFFFF"/>
          <w:lang w:val="en-US" w:eastAsia="zh-CN" w:bidi="ar"/>
        </w:rPr>
        <w:t>八、改进措施和有关建议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sz w:val="28"/>
          <w:szCs w:val="28"/>
          <w:bdr w:val="none" w:color="auto" w:sz="0" w:space="0"/>
          <w:shd w:val="clear" w:fill="FFFFFF"/>
        </w:rPr>
        <w:t>（一）预算执行方面：</w:t>
      </w:r>
      <w:r>
        <w:rPr>
          <w:rFonts w:hint="eastAsia" w:ascii="宋体" w:hAnsi="宋体" w:eastAsia="宋体" w:cs="宋体"/>
          <w:i w:val="0"/>
          <w:iCs w:val="0"/>
          <w:caps w:val="0"/>
          <w:color w:val="232323"/>
          <w:spacing w:val="0"/>
          <w:sz w:val="28"/>
          <w:szCs w:val="28"/>
          <w:bdr w:val="none" w:color="auto" w:sz="0" w:space="0"/>
          <w:shd w:val="clear" w:fill="FFFFFF"/>
        </w:rPr>
        <w:t>争取调整落实编制，加强部门工作管理；严格控制新进人员，逐步缩小在岗人数与编制数的差异；严格落实三定方案，做到人、岗、责的匹配，逐步消除人员借调现象。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55"/>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sz w:val="28"/>
          <w:szCs w:val="28"/>
          <w:bdr w:val="none" w:color="auto" w:sz="0" w:space="0"/>
          <w:shd w:val="clear" w:fill="FFFFFF"/>
        </w:rPr>
        <w:t>（二）预算管理方面：</w:t>
      </w:r>
      <w:r>
        <w:rPr>
          <w:rFonts w:hint="eastAsia" w:ascii="宋体" w:hAnsi="宋体" w:eastAsia="宋体" w:cs="宋体"/>
          <w:i w:val="0"/>
          <w:iCs w:val="0"/>
          <w:caps w:val="0"/>
          <w:color w:val="232323"/>
          <w:spacing w:val="0"/>
          <w:sz w:val="28"/>
          <w:szCs w:val="28"/>
          <w:bdr w:val="none" w:color="auto" w:sz="0" w:space="0"/>
          <w:shd w:val="clear" w:fill="FFFFFF"/>
        </w:rPr>
        <w:t>严格执行国家各级财政部门的相关规定和局机关财务管理制度，严格控制费用支出，严格控制支出标准，加强财务支出管理的合规性与规范性。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55"/>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sz w:val="28"/>
          <w:szCs w:val="28"/>
          <w:bdr w:val="none" w:color="auto" w:sz="0" w:space="0"/>
          <w:shd w:val="clear" w:fill="FFFFFF"/>
        </w:rPr>
        <w:t>（三）资产管理方面：</w:t>
      </w:r>
      <w:r>
        <w:rPr>
          <w:rFonts w:hint="eastAsia" w:ascii="宋体" w:hAnsi="宋体" w:eastAsia="宋体" w:cs="宋体"/>
          <w:i w:val="0"/>
          <w:iCs w:val="0"/>
          <w:caps w:val="0"/>
          <w:color w:val="232323"/>
          <w:spacing w:val="0"/>
          <w:sz w:val="28"/>
          <w:szCs w:val="28"/>
          <w:bdr w:val="none" w:color="auto" w:sz="0" w:space="0"/>
          <w:shd w:val="clear" w:fill="FFFFFF"/>
        </w:rPr>
        <w:t> 精细化和经常化资产清查工作，降低国有资产的闲置率，提高国有资产的使用效率与效益；强化项目立项前期对社会经济发展、宏观政策调控趋势的调研与科学分析；按程序要求对固定资产投资建设及时进行项目工程决算与结算，及时清点登记，确保固定资产账账相符、账实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55"/>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sz w:val="28"/>
          <w:szCs w:val="28"/>
          <w:bdr w:val="none" w:color="auto" w:sz="0" w:space="0"/>
          <w:shd w:val="clear" w:fill="FFFFFF"/>
        </w:rPr>
        <w:t>（四） 职责履行方面：</w:t>
      </w:r>
      <w:r>
        <w:rPr>
          <w:rFonts w:hint="eastAsia" w:ascii="宋体" w:hAnsi="宋体" w:eastAsia="宋体" w:cs="宋体"/>
          <w:i w:val="0"/>
          <w:iCs w:val="0"/>
          <w:caps w:val="0"/>
          <w:color w:val="232323"/>
          <w:spacing w:val="0"/>
          <w:sz w:val="28"/>
          <w:szCs w:val="28"/>
          <w:bdr w:val="none" w:color="auto" w:sz="0" w:space="0"/>
          <w:shd w:val="clear" w:fill="FFFFFF"/>
        </w:rPr>
        <w:t>强化公仆与服务意识，强化监管责任，拓宽监管范围，加强思想与业务培训，提倡建设学习型单位培养学习型干部，提高干部队伍的政治素质、业务素质；全面严格落实首问责任制，提高群众办事满意度；进一步精细化管理外购护理服务合同的履约责任，提高履约质量。</w:t>
      </w:r>
      <w:r>
        <w:rPr>
          <w:rFonts w:hint="default" w:ascii="Times New Roman" w:hAnsi="Times New Roman" w:eastAsia="微软雅黑" w:cs="Times New Roman"/>
          <w:i w:val="0"/>
          <w:iCs w:val="0"/>
          <w:caps w:val="0"/>
          <w:color w:val="23232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eastAsia" w:ascii="微软雅黑" w:hAnsi="微软雅黑" w:eastAsia="微软雅黑" w:cs="微软雅黑"/>
          <w:i w:val="0"/>
          <w:iCs w:val="0"/>
          <w:caps w:val="0"/>
          <w:color w:val="232323"/>
          <w:spacing w:val="0"/>
          <w:sz w:val="21"/>
          <w:szCs w:val="21"/>
        </w:rPr>
      </w:pPr>
      <w:bookmarkStart w:id="15" w:name="_Hlk110497727"/>
      <w:bookmarkEnd w:id="15"/>
      <w:r>
        <w:rPr>
          <w:rFonts w:hint="eastAsia" w:ascii="宋体" w:hAnsi="宋体" w:eastAsia="宋体" w:cs="宋体"/>
          <w:b/>
          <w:bCs/>
          <w:i w:val="0"/>
          <w:iCs w:val="0"/>
          <w:caps w:val="0"/>
          <w:color w:val="232323"/>
          <w:spacing w:val="0"/>
          <w:sz w:val="28"/>
          <w:szCs w:val="28"/>
          <w:bdr w:val="none" w:color="auto" w:sz="0" w:space="0"/>
          <w:shd w:val="clear" w:fill="FFFFFF"/>
        </w:rPr>
        <w:t>（五）可持续性方面：</w:t>
      </w:r>
      <w:r>
        <w:rPr>
          <w:rFonts w:hint="eastAsia" w:ascii="宋体" w:hAnsi="宋体" w:eastAsia="宋体" w:cs="宋体"/>
          <w:i w:val="0"/>
          <w:iCs w:val="0"/>
          <w:caps w:val="0"/>
          <w:color w:val="232323"/>
          <w:spacing w:val="0"/>
          <w:sz w:val="28"/>
          <w:szCs w:val="28"/>
          <w:bdr w:val="none" w:color="auto" w:sz="0" w:space="0"/>
          <w:shd w:val="clear" w:fill="FFFFFF"/>
        </w:rPr>
        <w:t>规划布置好办公楼大厅的展示功能，提升便民办事的导引功能和服务功能；与时俱进加强和精细化内部管理制度建设，保障管理制度落地履行，维护组织权威；完善安全管理制度，加强安全管理巡查，落实安全管理责任，防堵安全管理漏洞；加强财政对社会养老服务的支持力度，持续引导与推动民营资本深度参与社会养老服务事业建设，不断优化资本结构与服务层次，促进养老服务社会化发展；争取县委县政府的政策与财政支持，拓展婚姻登记中心的办公空间与功能建设，争创省级婚姻登记中心</w:t>
      </w:r>
      <w:r>
        <w:rPr>
          <w:rFonts w:hint="default" w:ascii="Times New Roman" w:hAnsi="Times New Roman" w:eastAsia="宋体" w:cs="Times New Roman"/>
          <w:i w:val="0"/>
          <w:iCs w:val="0"/>
          <w:caps w:val="0"/>
          <w:color w:val="232323"/>
          <w:spacing w:val="0"/>
          <w:sz w:val="28"/>
          <w:szCs w:val="28"/>
          <w:bdr w:val="none" w:color="auto" w:sz="0" w:space="0"/>
          <w:shd w:val="clear" w:fill="FFFFFF"/>
        </w:rPr>
        <w:t>3</w:t>
      </w:r>
      <w:r>
        <w:rPr>
          <w:rFonts w:hint="default" w:ascii="Times New Roman" w:hAnsi="Times New Roman" w:eastAsia="微软雅黑" w:cs="Times New Roman"/>
          <w:i w:val="0"/>
          <w:iCs w:val="0"/>
          <w:caps w:val="0"/>
          <w:color w:val="232323"/>
          <w:spacing w:val="0"/>
          <w:sz w:val="28"/>
          <w:szCs w:val="28"/>
          <w:bdr w:val="none" w:color="auto" w:sz="0" w:space="0"/>
          <w:shd w:val="clear" w:fill="FFFFFF"/>
        </w:rPr>
        <w:t>A</w:t>
      </w:r>
      <w:r>
        <w:rPr>
          <w:rFonts w:hint="eastAsia" w:ascii="宋体" w:hAnsi="宋体" w:eastAsia="宋体" w:cs="宋体"/>
          <w:i w:val="0"/>
          <w:iCs w:val="0"/>
          <w:caps w:val="0"/>
          <w:color w:val="232323"/>
          <w:spacing w:val="0"/>
          <w:sz w:val="28"/>
          <w:szCs w:val="28"/>
          <w:bdr w:val="none" w:color="auto" w:sz="0" w:space="0"/>
          <w:shd w:val="clear" w:fill="FFFFFF"/>
        </w:rPr>
        <w:t>星级窗口。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sz w:val="28"/>
          <w:szCs w:val="28"/>
          <w:bdr w:val="none" w:color="auto" w:sz="0" w:space="0"/>
          <w:shd w:val="clear" w:fill="FFFFFF"/>
        </w:rPr>
        <w:t>（六）绩效管理方面： </w:t>
      </w:r>
      <w:r>
        <w:rPr>
          <w:rFonts w:hint="eastAsia" w:ascii="宋体" w:hAnsi="宋体" w:eastAsia="宋体" w:cs="宋体"/>
          <w:i w:val="0"/>
          <w:iCs w:val="0"/>
          <w:caps w:val="0"/>
          <w:color w:val="232323"/>
          <w:spacing w:val="0"/>
          <w:sz w:val="28"/>
          <w:szCs w:val="28"/>
          <w:bdr w:val="none" w:color="auto" w:sz="0" w:space="0"/>
          <w:shd w:val="clear" w:fill="FFFFFF"/>
        </w:rPr>
        <w:t>以绩效结果为导向，增强财政支出绩效管理意识，鼓励与落实全员参与年度绩效目标制定与目标达成，及时有效地将部门绩效目标层层细化分解落实到岗到人，真抓实干完成绩效目标。及时开展年度绩效自评与信息公开，增强对绩效评价结果的使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Mzc2NzJkOTM0NWQ0YmRiNjk2NWY5NjEyY2U5OWMifQ=="/>
  </w:docVars>
  <w:rsids>
    <w:rsidRoot w:val="00000000"/>
    <w:rsid w:val="52280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2023-09-13T00:12:16Z</dcterms:created>
  <dc:creator>Administrator.pc-201712171005</dc:creator>
  <cp:lastModifiedBy>Administrator</cp:lastModifiedBy>
  <dcterms:modified xsi:type="dcterms:W3CDTF">2023-09-13T00:13:26Z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5E9CCF89101B4A4A9843685BDED8AA94_12</vt:lpwstr>
  </property>
</Properties>
</file>