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方正仿宋简体" w:hAnsi="宋体" w:eastAsia="方正仿宋简体" w:cs="宋体"/>
          <w:kern w:val="0"/>
          <w:sz w:val="32"/>
          <w:szCs w:val="32"/>
        </w:rPr>
      </w:pPr>
    </w:p>
    <w:p>
      <w:pPr>
        <w:spacing w:line="600" w:lineRule="exact"/>
        <w:jc w:val="center"/>
        <w:rPr>
          <w:rFonts w:ascii="方正小标宋简体" w:eastAsia="方正小标宋简体"/>
          <w:bCs/>
          <w:kern w:val="0"/>
          <w:sz w:val="36"/>
          <w:szCs w:val="36"/>
        </w:rPr>
      </w:pPr>
      <w:r>
        <w:rPr>
          <w:rFonts w:hint="eastAsia" w:ascii="方正小标宋简体" w:eastAsia="方正小标宋简体"/>
          <w:bCs/>
          <w:kern w:val="0"/>
          <w:sz w:val="36"/>
          <w:szCs w:val="36"/>
        </w:rPr>
        <w:t>部门整体支出绩效自评基础数据表</w:t>
      </w:r>
    </w:p>
    <w:tbl>
      <w:tblPr>
        <w:tblStyle w:val="9"/>
        <w:tblW w:w="944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
        <w:gridCol w:w="705"/>
        <w:gridCol w:w="1185"/>
        <w:gridCol w:w="2183"/>
        <w:gridCol w:w="605"/>
        <w:gridCol w:w="567"/>
        <w:gridCol w:w="992"/>
        <w:gridCol w:w="560"/>
        <w:gridCol w:w="7"/>
        <w:gridCol w:w="993"/>
        <w:gridCol w:w="494"/>
        <w:gridCol w:w="672"/>
        <w:gridCol w:w="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371" w:type="dxa"/>
          <w:trHeight w:val="480" w:hRule="atLeast"/>
          <w:jc w:val="center"/>
        </w:trPr>
        <w:tc>
          <w:tcPr>
            <w:tcW w:w="9071" w:type="dxa"/>
            <w:gridSpan w:val="12"/>
            <w:tcBorders>
              <w:top w:val="nil"/>
              <w:left w:val="nil"/>
              <w:bottom w:val="nil"/>
              <w:right w:val="nil"/>
            </w:tcBorders>
            <w:vAlign w:val="center"/>
          </w:tcPr>
          <w:p>
            <w:pPr>
              <w:spacing w:line="600" w:lineRule="exact"/>
              <w:jc w:val="center"/>
              <w:rPr>
                <w:rFonts w:ascii="黑体" w:hAnsi="黑体" w:eastAsia="黑体" w:cs="黑体"/>
              </w:rPr>
            </w:pPr>
            <w:r>
              <w:rPr>
                <w:rFonts w:hint="eastAsia" w:ascii="黑体" w:hAnsi="黑体" w:eastAsia="黑体" w:cs="黑体"/>
                <w:sz w:val="24"/>
              </w:rPr>
              <w:t>（</w:t>
            </w:r>
            <w:r>
              <w:rPr>
                <w:rFonts w:hint="eastAsia" w:ascii="黑体" w:hAnsi="黑体" w:eastAsia="黑体" w:cs="黑体"/>
                <w:sz w:val="24"/>
                <w:lang w:eastAsia="zh-CN"/>
              </w:rPr>
              <w:t>2021</w:t>
            </w:r>
            <w:r>
              <w:rPr>
                <w:rFonts w:hint="eastAsia" w:ascii="黑体" w:hAnsi="黑体" w:eastAsia="黑体" w:cs="黑体"/>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561" w:hRule="exact"/>
          <w:jc w:val="center"/>
        </w:trPr>
        <w:tc>
          <w:tcPr>
            <w:tcW w:w="705" w:type="dxa"/>
            <w:vMerge w:val="restart"/>
            <w:vAlign w:val="center"/>
          </w:tcPr>
          <w:p>
            <w:pPr>
              <w:spacing w:line="560" w:lineRule="exact"/>
              <w:jc w:val="center"/>
              <w:rPr>
                <w:rFonts w:ascii="楷体" w:hAnsi="楷体" w:eastAsia="楷体" w:cs="楷体"/>
                <w:szCs w:val="21"/>
              </w:rPr>
            </w:pPr>
            <w:r>
              <w:rPr>
                <w:rFonts w:hint="eastAsia" w:ascii="楷体" w:hAnsi="楷体" w:eastAsia="楷体" w:cs="楷体"/>
                <w:szCs w:val="21"/>
              </w:rPr>
              <w:t>基本情况</w:t>
            </w:r>
          </w:p>
        </w:tc>
        <w:tc>
          <w:tcPr>
            <w:tcW w:w="1185" w:type="dxa"/>
            <w:vAlign w:val="center"/>
          </w:tcPr>
          <w:p>
            <w:pPr>
              <w:jc w:val="center"/>
              <w:rPr>
                <w:rFonts w:ascii="楷体" w:hAnsi="楷体" w:eastAsia="楷体" w:cs="楷体"/>
                <w:szCs w:val="21"/>
              </w:rPr>
            </w:pPr>
            <w:r>
              <w:rPr>
                <w:rFonts w:hint="eastAsia" w:ascii="楷体" w:hAnsi="楷体" w:eastAsia="楷体" w:cs="楷体"/>
                <w:szCs w:val="21"/>
              </w:rPr>
              <w:t>单位名称（盖章）</w:t>
            </w:r>
          </w:p>
        </w:tc>
        <w:tc>
          <w:tcPr>
            <w:tcW w:w="7444" w:type="dxa"/>
            <w:gridSpan w:val="10"/>
            <w:vAlign w:val="center"/>
          </w:tcPr>
          <w:p>
            <w:pPr>
              <w:spacing w:line="540" w:lineRule="exact"/>
              <w:jc w:val="center"/>
              <w:rPr>
                <w:rFonts w:hint="eastAsia" w:ascii="楷体" w:hAnsi="楷体" w:eastAsia="楷体" w:cs="楷体"/>
                <w:szCs w:val="21"/>
                <w:lang w:val="en-US" w:eastAsia="zh-CN"/>
              </w:rPr>
            </w:pPr>
            <w:r>
              <w:rPr>
                <w:rFonts w:hint="eastAsia" w:ascii="楷体" w:hAnsi="楷体" w:eastAsia="楷体" w:cs="楷体"/>
                <w:szCs w:val="21"/>
                <w:lang w:val="en-US" w:eastAsia="zh-CN"/>
              </w:rPr>
              <w:t>隆回县荷香桥镇人民政府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466" w:hRule="exact"/>
          <w:jc w:val="center"/>
        </w:trPr>
        <w:tc>
          <w:tcPr>
            <w:tcW w:w="705" w:type="dxa"/>
            <w:vMerge w:val="continue"/>
            <w:vAlign w:val="center"/>
          </w:tcPr>
          <w:p>
            <w:pPr>
              <w:widowControl/>
              <w:jc w:val="left"/>
              <w:rPr>
                <w:rFonts w:ascii="楷体" w:hAnsi="楷体" w:eastAsia="楷体" w:cs="楷体"/>
                <w:szCs w:val="21"/>
              </w:rPr>
            </w:pPr>
          </w:p>
        </w:tc>
        <w:tc>
          <w:tcPr>
            <w:tcW w:w="1185" w:type="dxa"/>
            <w:vAlign w:val="center"/>
          </w:tcPr>
          <w:p>
            <w:pPr>
              <w:jc w:val="both"/>
              <w:rPr>
                <w:rFonts w:hint="eastAsia" w:ascii="楷体" w:hAnsi="楷体" w:eastAsia="楷体" w:cs="楷体"/>
                <w:szCs w:val="21"/>
              </w:rPr>
            </w:pPr>
            <w:r>
              <w:rPr>
                <w:rFonts w:hint="eastAsia" w:ascii="楷体" w:hAnsi="楷体" w:eastAsia="楷体" w:cs="楷体"/>
                <w:szCs w:val="21"/>
              </w:rPr>
              <w:t>编制人数</w:t>
            </w:r>
          </w:p>
        </w:tc>
        <w:tc>
          <w:tcPr>
            <w:tcW w:w="2788" w:type="dxa"/>
            <w:gridSpan w:val="2"/>
            <w:vAlign w:val="center"/>
          </w:tcPr>
          <w:p>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130</w:t>
            </w:r>
          </w:p>
        </w:tc>
        <w:tc>
          <w:tcPr>
            <w:tcW w:w="1559" w:type="dxa"/>
            <w:gridSpan w:val="2"/>
            <w:vAlign w:val="center"/>
          </w:tcPr>
          <w:p>
            <w:pPr>
              <w:ind w:firstLine="105" w:firstLineChars="50"/>
              <w:jc w:val="center"/>
              <w:rPr>
                <w:rFonts w:ascii="楷体" w:hAnsi="楷体" w:eastAsia="楷体" w:cs="楷体"/>
                <w:szCs w:val="21"/>
              </w:rPr>
            </w:pPr>
            <w:r>
              <w:rPr>
                <w:rFonts w:hint="eastAsia" w:ascii="楷体" w:hAnsi="楷体" w:eastAsia="楷体" w:cs="楷体"/>
                <w:szCs w:val="21"/>
              </w:rPr>
              <w:t>实有人数</w:t>
            </w:r>
          </w:p>
        </w:tc>
        <w:tc>
          <w:tcPr>
            <w:tcW w:w="3097" w:type="dxa"/>
            <w:gridSpan w:val="6"/>
            <w:vAlign w:val="center"/>
          </w:tcPr>
          <w:p>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2811" w:hRule="exact"/>
          <w:jc w:val="center"/>
        </w:trPr>
        <w:tc>
          <w:tcPr>
            <w:tcW w:w="705" w:type="dxa"/>
            <w:vMerge w:val="continue"/>
            <w:vAlign w:val="center"/>
          </w:tcPr>
          <w:p>
            <w:pPr>
              <w:widowControl/>
              <w:jc w:val="left"/>
              <w:rPr>
                <w:rFonts w:ascii="楷体" w:hAnsi="楷体" w:eastAsia="楷体" w:cs="楷体"/>
                <w:szCs w:val="21"/>
              </w:rPr>
            </w:pPr>
          </w:p>
        </w:tc>
        <w:tc>
          <w:tcPr>
            <w:tcW w:w="1185" w:type="dxa"/>
            <w:vAlign w:val="center"/>
          </w:tcPr>
          <w:p>
            <w:pPr>
              <w:jc w:val="center"/>
              <w:rPr>
                <w:rFonts w:ascii="楷体" w:hAnsi="楷体" w:eastAsia="楷体" w:cs="楷体"/>
                <w:szCs w:val="21"/>
              </w:rPr>
            </w:pPr>
            <w:r>
              <w:rPr>
                <w:rFonts w:hint="eastAsia" w:ascii="楷体" w:hAnsi="楷体" w:eastAsia="楷体" w:cs="楷体"/>
                <w:szCs w:val="21"/>
              </w:rPr>
              <w:t>部门职能概述</w:t>
            </w:r>
          </w:p>
        </w:tc>
        <w:tc>
          <w:tcPr>
            <w:tcW w:w="7444" w:type="dxa"/>
            <w:gridSpan w:val="10"/>
            <w:vAlign w:val="top"/>
          </w:tcPr>
          <w:p>
            <w:pPr>
              <w:spacing w:line="340" w:lineRule="exact"/>
              <w:jc w:val="left"/>
              <w:rPr>
                <w:rFonts w:ascii="楷体" w:hAnsi="楷体" w:eastAsia="楷体" w:cs="楷体"/>
                <w:szCs w:val="21"/>
              </w:rPr>
            </w:pPr>
            <w:r>
              <w:rPr>
                <w:rFonts w:hint="eastAsia" w:ascii="楷体" w:hAnsi="楷体" w:eastAsia="楷体" w:cs="楷体"/>
                <w:szCs w:val="21"/>
              </w:rPr>
              <w:t>（一）宣传和贯彻执行党的路线方针政策和法律法规；（二）落实基层管党治党工作责任制；（三）规范经济管理，组织指导经济发展和经济结构调整；（四）加强社会管理和基础设施建设，创造良好环境；（五）发展公益事业，强化公共服务；（六）加强综合治理，维护社会稳定；（七）按照管理权限，负责机关和事业单位工作人员的教育、培养、选拔和监督工作</w:t>
            </w:r>
            <w:r>
              <w:rPr>
                <w:rFonts w:hint="eastAsia" w:ascii="楷体" w:hAnsi="楷体" w:eastAsia="楷体" w:cs="楷体"/>
                <w:szCs w:val="21"/>
                <w:lang w:eastAsia="zh-CN"/>
              </w:rPr>
              <w:t>，</w:t>
            </w:r>
            <w:r>
              <w:rPr>
                <w:rFonts w:hint="eastAsia" w:ascii="楷体" w:hAnsi="楷体" w:eastAsia="楷体" w:cs="楷体"/>
                <w:szCs w:val="21"/>
              </w:rPr>
              <w:t>协助管理好派驻单位人员；（八）依法依规承担下放的经济社会管理权限和行政执法事项；（九）行使《中华人民共和国地方各级人民代表大会和地方各级人民政府组织法》等法律法规赋予的职权；（十）完成县委、县政府交办的其它事项。</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572" w:hRule="exact"/>
          <w:jc w:val="center"/>
        </w:trPr>
        <w:tc>
          <w:tcPr>
            <w:tcW w:w="705" w:type="dxa"/>
            <w:vMerge w:val="continue"/>
            <w:vAlign w:val="center"/>
          </w:tcPr>
          <w:p>
            <w:pPr>
              <w:widowControl/>
              <w:jc w:val="left"/>
              <w:rPr>
                <w:rFonts w:ascii="楷体" w:hAnsi="楷体" w:eastAsia="楷体" w:cs="楷体"/>
                <w:szCs w:val="21"/>
              </w:rPr>
            </w:pPr>
          </w:p>
        </w:tc>
        <w:tc>
          <w:tcPr>
            <w:tcW w:w="1185" w:type="dxa"/>
            <w:vMerge w:val="restart"/>
            <w:vAlign w:val="center"/>
          </w:tcPr>
          <w:p>
            <w:pPr>
              <w:spacing w:line="240" w:lineRule="atLeast"/>
              <w:jc w:val="center"/>
              <w:rPr>
                <w:rFonts w:ascii="楷体" w:hAnsi="楷体" w:eastAsia="楷体" w:cs="楷体"/>
                <w:szCs w:val="21"/>
              </w:rPr>
            </w:pPr>
            <w:r>
              <w:rPr>
                <w:rFonts w:hint="eastAsia" w:ascii="楷体" w:hAnsi="楷体" w:eastAsia="楷体" w:cs="楷体"/>
                <w:szCs w:val="21"/>
              </w:rPr>
              <w:t>年度收入（万元）</w:t>
            </w:r>
          </w:p>
        </w:tc>
        <w:tc>
          <w:tcPr>
            <w:tcW w:w="2183" w:type="dxa"/>
            <w:vAlign w:val="center"/>
          </w:tcPr>
          <w:p>
            <w:pPr>
              <w:jc w:val="center"/>
              <w:rPr>
                <w:rFonts w:ascii="楷体" w:hAnsi="楷体" w:eastAsia="楷体" w:cs="楷体"/>
                <w:szCs w:val="21"/>
              </w:rPr>
            </w:pPr>
            <w:r>
              <w:rPr>
                <w:rFonts w:hint="eastAsia" w:ascii="楷体" w:hAnsi="楷体" w:eastAsia="楷体" w:cs="楷体"/>
                <w:szCs w:val="21"/>
              </w:rPr>
              <w:t>县财政预算安排</w:t>
            </w:r>
          </w:p>
        </w:tc>
        <w:tc>
          <w:tcPr>
            <w:tcW w:w="1172" w:type="dxa"/>
            <w:gridSpan w:val="2"/>
            <w:vAlign w:val="center"/>
          </w:tcPr>
          <w:p>
            <w:pPr>
              <w:jc w:val="center"/>
              <w:rPr>
                <w:rFonts w:ascii="楷体" w:hAnsi="楷体" w:eastAsia="楷体" w:cs="楷体"/>
                <w:szCs w:val="21"/>
                <w:lang w:val="en-US"/>
              </w:rPr>
            </w:pPr>
            <w:r>
              <w:rPr>
                <w:rFonts w:hint="eastAsia" w:ascii="楷体" w:hAnsi="楷体" w:eastAsia="楷体" w:cs="楷体"/>
                <w:szCs w:val="21"/>
                <w:lang w:val="en-US" w:eastAsia="zh-CN"/>
              </w:rPr>
              <w:t>2992.65</w:t>
            </w:r>
          </w:p>
        </w:tc>
        <w:tc>
          <w:tcPr>
            <w:tcW w:w="1552" w:type="dxa"/>
            <w:gridSpan w:val="2"/>
            <w:vAlign w:val="center"/>
          </w:tcPr>
          <w:p>
            <w:pPr>
              <w:jc w:val="center"/>
              <w:rPr>
                <w:rFonts w:hint="eastAsia" w:ascii="楷体" w:hAnsi="楷体" w:eastAsia="楷体" w:cs="楷体"/>
                <w:szCs w:val="21"/>
              </w:rPr>
            </w:pPr>
            <w:r>
              <w:rPr>
                <w:rFonts w:hint="eastAsia" w:ascii="楷体" w:hAnsi="楷体" w:eastAsia="楷体" w:cs="楷体"/>
                <w:szCs w:val="21"/>
              </w:rPr>
              <w:t>非税收入</w:t>
            </w:r>
          </w:p>
        </w:tc>
        <w:tc>
          <w:tcPr>
            <w:tcW w:w="1000" w:type="dxa"/>
            <w:gridSpan w:val="2"/>
            <w:vAlign w:val="center"/>
          </w:tcPr>
          <w:p>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241.2</w:t>
            </w:r>
          </w:p>
        </w:tc>
        <w:tc>
          <w:tcPr>
            <w:tcW w:w="494" w:type="dxa"/>
            <w:vMerge w:val="restart"/>
            <w:vAlign w:val="center"/>
          </w:tcPr>
          <w:p>
            <w:pPr>
              <w:spacing w:line="560" w:lineRule="exact"/>
              <w:jc w:val="center"/>
              <w:rPr>
                <w:rFonts w:ascii="楷体" w:hAnsi="楷体" w:eastAsia="楷体" w:cs="楷体"/>
                <w:szCs w:val="21"/>
              </w:rPr>
            </w:pPr>
            <w:r>
              <w:rPr>
                <w:rFonts w:hint="eastAsia" w:ascii="楷体" w:hAnsi="楷体" w:eastAsia="楷体" w:cs="楷体"/>
                <w:szCs w:val="21"/>
              </w:rPr>
              <w:t>合计</w:t>
            </w:r>
          </w:p>
        </w:tc>
        <w:tc>
          <w:tcPr>
            <w:tcW w:w="1043" w:type="dxa"/>
            <w:gridSpan w:val="2"/>
            <w:vMerge w:val="restart"/>
            <w:vAlign w:val="top"/>
          </w:tcPr>
          <w:p>
            <w:pPr>
              <w:spacing w:line="560" w:lineRule="exact"/>
              <w:jc w:val="left"/>
              <w:rPr>
                <w:rFonts w:ascii="楷体" w:hAnsi="楷体" w:eastAsia="楷体" w:cs="楷体"/>
                <w:szCs w:val="21"/>
              </w:rPr>
            </w:pPr>
            <w:r>
              <w:rPr>
                <w:rFonts w:hint="eastAsia" w:ascii="楷体" w:hAnsi="楷体" w:eastAsia="楷体" w:cs="楷体"/>
                <w:szCs w:val="21"/>
                <w:lang w:val="en-US" w:eastAsia="zh-CN"/>
              </w:rPr>
              <w:t>3233.85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555" w:hRule="exact"/>
          <w:jc w:val="center"/>
        </w:trPr>
        <w:tc>
          <w:tcPr>
            <w:tcW w:w="705" w:type="dxa"/>
            <w:vMerge w:val="continue"/>
            <w:vAlign w:val="center"/>
          </w:tcPr>
          <w:p>
            <w:pPr>
              <w:widowControl/>
              <w:jc w:val="left"/>
              <w:rPr>
                <w:rFonts w:ascii="楷体" w:hAnsi="楷体" w:eastAsia="楷体" w:cs="楷体"/>
                <w:szCs w:val="21"/>
              </w:rPr>
            </w:pPr>
          </w:p>
        </w:tc>
        <w:tc>
          <w:tcPr>
            <w:tcW w:w="1185" w:type="dxa"/>
            <w:vMerge w:val="continue"/>
            <w:vAlign w:val="center"/>
          </w:tcPr>
          <w:p>
            <w:pPr>
              <w:spacing w:line="240" w:lineRule="atLeast"/>
              <w:jc w:val="center"/>
              <w:rPr>
                <w:rFonts w:ascii="楷体" w:hAnsi="楷体" w:eastAsia="楷体" w:cs="楷体"/>
                <w:szCs w:val="21"/>
              </w:rPr>
            </w:pPr>
          </w:p>
        </w:tc>
        <w:tc>
          <w:tcPr>
            <w:tcW w:w="2183" w:type="dxa"/>
            <w:vAlign w:val="center"/>
          </w:tcPr>
          <w:p>
            <w:pPr>
              <w:jc w:val="center"/>
              <w:rPr>
                <w:rFonts w:ascii="楷体" w:hAnsi="楷体" w:eastAsia="楷体" w:cs="楷体"/>
                <w:szCs w:val="21"/>
              </w:rPr>
            </w:pPr>
            <w:r>
              <w:rPr>
                <w:rFonts w:hint="eastAsia" w:ascii="楷体" w:hAnsi="楷体" w:eastAsia="楷体" w:cs="楷体"/>
                <w:szCs w:val="21"/>
              </w:rPr>
              <w:t>中央省市安排资金</w:t>
            </w:r>
          </w:p>
        </w:tc>
        <w:tc>
          <w:tcPr>
            <w:tcW w:w="1172" w:type="dxa"/>
            <w:gridSpan w:val="2"/>
            <w:vAlign w:val="center"/>
          </w:tcPr>
          <w:p>
            <w:pPr>
              <w:jc w:val="center"/>
              <w:rPr>
                <w:rFonts w:ascii="楷体" w:hAnsi="楷体" w:eastAsia="楷体" w:cs="楷体"/>
                <w:szCs w:val="21"/>
              </w:rPr>
            </w:pPr>
          </w:p>
        </w:tc>
        <w:tc>
          <w:tcPr>
            <w:tcW w:w="1552" w:type="dxa"/>
            <w:gridSpan w:val="2"/>
            <w:vAlign w:val="center"/>
          </w:tcPr>
          <w:p>
            <w:pPr>
              <w:jc w:val="center"/>
              <w:rPr>
                <w:rFonts w:hint="eastAsia" w:ascii="楷体" w:hAnsi="楷体" w:eastAsia="楷体" w:cs="楷体"/>
                <w:szCs w:val="21"/>
              </w:rPr>
            </w:pPr>
            <w:r>
              <w:rPr>
                <w:rFonts w:hint="eastAsia" w:ascii="楷体" w:hAnsi="楷体" w:eastAsia="楷体" w:cs="楷体"/>
                <w:szCs w:val="21"/>
              </w:rPr>
              <w:t>其他收入</w:t>
            </w:r>
          </w:p>
        </w:tc>
        <w:tc>
          <w:tcPr>
            <w:tcW w:w="1000" w:type="dxa"/>
            <w:gridSpan w:val="2"/>
            <w:vAlign w:val="top"/>
          </w:tcPr>
          <w:p>
            <w:pPr>
              <w:jc w:val="center"/>
              <w:rPr>
                <w:rFonts w:hint="eastAsia" w:ascii="楷体" w:hAnsi="楷体" w:eastAsia="楷体" w:cs="楷体"/>
                <w:szCs w:val="21"/>
              </w:rPr>
            </w:pPr>
          </w:p>
        </w:tc>
        <w:tc>
          <w:tcPr>
            <w:tcW w:w="494" w:type="dxa"/>
            <w:vMerge w:val="continue"/>
            <w:vAlign w:val="center"/>
          </w:tcPr>
          <w:p>
            <w:pPr>
              <w:spacing w:line="560" w:lineRule="exact"/>
              <w:jc w:val="center"/>
              <w:rPr>
                <w:rFonts w:ascii="楷体" w:hAnsi="楷体" w:eastAsia="楷体" w:cs="楷体"/>
                <w:szCs w:val="21"/>
              </w:rPr>
            </w:pPr>
          </w:p>
        </w:tc>
        <w:tc>
          <w:tcPr>
            <w:tcW w:w="1043" w:type="dxa"/>
            <w:gridSpan w:val="2"/>
            <w:vMerge w:val="continue"/>
            <w:vAlign w:val="top"/>
          </w:tcPr>
          <w:p>
            <w:pPr>
              <w:spacing w:line="560" w:lineRule="exact"/>
              <w:jc w:val="left"/>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560" w:hRule="exact"/>
          <w:jc w:val="center"/>
        </w:trPr>
        <w:tc>
          <w:tcPr>
            <w:tcW w:w="705" w:type="dxa"/>
            <w:vMerge w:val="continue"/>
            <w:vAlign w:val="center"/>
          </w:tcPr>
          <w:p>
            <w:pPr>
              <w:widowControl/>
              <w:jc w:val="left"/>
              <w:rPr>
                <w:rFonts w:ascii="楷体" w:hAnsi="楷体" w:eastAsia="楷体" w:cs="楷体"/>
                <w:szCs w:val="21"/>
              </w:rPr>
            </w:pPr>
          </w:p>
        </w:tc>
        <w:tc>
          <w:tcPr>
            <w:tcW w:w="1185" w:type="dxa"/>
            <w:vMerge w:val="restart"/>
            <w:vAlign w:val="center"/>
          </w:tcPr>
          <w:p>
            <w:pPr>
              <w:jc w:val="center"/>
              <w:rPr>
                <w:rFonts w:ascii="楷体" w:hAnsi="楷体" w:eastAsia="楷体" w:cs="楷体"/>
                <w:szCs w:val="21"/>
              </w:rPr>
            </w:pPr>
            <w:r>
              <w:rPr>
                <w:rFonts w:hint="eastAsia" w:ascii="楷体" w:hAnsi="楷体" w:eastAsia="楷体" w:cs="楷体"/>
                <w:szCs w:val="21"/>
              </w:rPr>
              <w:t>年度支出</w:t>
            </w:r>
          </w:p>
          <w:p>
            <w:pPr>
              <w:jc w:val="center"/>
              <w:rPr>
                <w:rFonts w:ascii="楷体" w:hAnsi="楷体" w:eastAsia="楷体" w:cs="楷体"/>
                <w:szCs w:val="21"/>
              </w:rPr>
            </w:pPr>
            <w:r>
              <w:rPr>
                <w:rFonts w:hint="eastAsia" w:ascii="楷体" w:hAnsi="楷体" w:eastAsia="楷体" w:cs="楷体"/>
                <w:szCs w:val="21"/>
              </w:rPr>
              <w:t>（万元）</w:t>
            </w:r>
          </w:p>
        </w:tc>
        <w:tc>
          <w:tcPr>
            <w:tcW w:w="2183" w:type="dxa"/>
            <w:vAlign w:val="center"/>
          </w:tcPr>
          <w:p>
            <w:pPr>
              <w:jc w:val="center"/>
              <w:rPr>
                <w:rFonts w:ascii="楷体" w:hAnsi="楷体" w:eastAsia="楷体" w:cs="楷体"/>
                <w:szCs w:val="21"/>
              </w:rPr>
            </w:pPr>
            <w:r>
              <w:rPr>
                <w:rFonts w:hint="eastAsia" w:ascii="楷体" w:hAnsi="楷体" w:eastAsia="楷体" w:cs="楷体"/>
                <w:szCs w:val="21"/>
              </w:rPr>
              <w:t>基本支出</w:t>
            </w:r>
          </w:p>
        </w:tc>
        <w:tc>
          <w:tcPr>
            <w:tcW w:w="1172" w:type="dxa"/>
            <w:gridSpan w:val="2"/>
            <w:vAlign w:val="center"/>
          </w:tcPr>
          <w:p>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2434.69</w:t>
            </w:r>
          </w:p>
        </w:tc>
        <w:tc>
          <w:tcPr>
            <w:tcW w:w="1559" w:type="dxa"/>
            <w:gridSpan w:val="3"/>
            <w:vMerge w:val="restart"/>
            <w:vAlign w:val="center"/>
          </w:tcPr>
          <w:p>
            <w:pPr>
              <w:jc w:val="center"/>
              <w:rPr>
                <w:rFonts w:ascii="楷体" w:hAnsi="楷体" w:eastAsia="楷体" w:cs="楷体"/>
                <w:szCs w:val="21"/>
              </w:rPr>
            </w:pPr>
            <w:r>
              <w:rPr>
                <w:rFonts w:hint="eastAsia" w:ascii="楷体" w:hAnsi="楷体" w:eastAsia="楷体" w:cs="楷体"/>
                <w:szCs w:val="21"/>
              </w:rPr>
              <w:t>项目支出</w:t>
            </w:r>
          </w:p>
        </w:tc>
        <w:tc>
          <w:tcPr>
            <w:tcW w:w="993" w:type="dxa"/>
            <w:vMerge w:val="restart"/>
            <w:vAlign w:val="center"/>
          </w:tcPr>
          <w:p>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799.16</w:t>
            </w:r>
          </w:p>
        </w:tc>
        <w:tc>
          <w:tcPr>
            <w:tcW w:w="494" w:type="dxa"/>
            <w:vMerge w:val="restart"/>
            <w:vAlign w:val="center"/>
          </w:tcPr>
          <w:p>
            <w:pPr>
              <w:jc w:val="center"/>
              <w:rPr>
                <w:rFonts w:ascii="楷体" w:hAnsi="楷体" w:eastAsia="楷体" w:cs="楷体"/>
                <w:szCs w:val="21"/>
              </w:rPr>
            </w:pPr>
            <w:r>
              <w:rPr>
                <w:rFonts w:hint="eastAsia" w:ascii="楷体" w:hAnsi="楷体" w:eastAsia="楷体" w:cs="楷体"/>
                <w:szCs w:val="21"/>
              </w:rPr>
              <w:t>合计</w:t>
            </w:r>
          </w:p>
        </w:tc>
        <w:tc>
          <w:tcPr>
            <w:tcW w:w="1043" w:type="dxa"/>
            <w:gridSpan w:val="2"/>
            <w:vMerge w:val="restart"/>
            <w:vAlign w:val="center"/>
          </w:tcPr>
          <w:p>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3233.85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708" w:hRule="exact"/>
          <w:jc w:val="center"/>
        </w:trPr>
        <w:tc>
          <w:tcPr>
            <w:tcW w:w="705" w:type="dxa"/>
            <w:vMerge w:val="continue"/>
            <w:vAlign w:val="center"/>
          </w:tcPr>
          <w:p>
            <w:pPr>
              <w:widowControl/>
              <w:jc w:val="left"/>
              <w:rPr>
                <w:rFonts w:ascii="楷体" w:hAnsi="楷体" w:eastAsia="楷体" w:cs="楷体"/>
                <w:szCs w:val="21"/>
              </w:rPr>
            </w:pPr>
          </w:p>
        </w:tc>
        <w:tc>
          <w:tcPr>
            <w:tcW w:w="1185" w:type="dxa"/>
            <w:vMerge w:val="continue"/>
            <w:vAlign w:val="center"/>
          </w:tcPr>
          <w:p>
            <w:pPr>
              <w:jc w:val="center"/>
              <w:rPr>
                <w:rFonts w:ascii="楷体" w:hAnsi="楷体" w:eastAsia="楷体" w:cs="楷体"/>
                <w:szCs w:val="21"/>
              </w:rPr>
            </w:pPr>
          </w:p>
        </w:tc>
        <w:tc>
          <w:tcPr>
            <w:tcW w:w="2183" w:type="dxa"/>
            <w:tcMar>
              <w:left w:w="0" w:type="dxa"/>
              <w:right w:w="0" w:type="dxa"/>
            </w:tcMar>
            <w:vAlign w:val="center"/>
          </w:tcPr>
          <w:p>
            <w:pPr>
              <w:jc w:val="center"/>
              <w:rPr>
                <w:rFonts w:ascii="楷体" w:hAnsi="楷体" w:eastAsia="楷体" w:cs="楷体"/>
                <w:szCs w:val="21"/>
              </w:rPr>
            </w:pPr>
            <w:r>
              <w:rPr>
                <w:rFonts w:hint="eastAsia" w:ascii="楷体" w:hAnsi="楷体" w:eastAsia="楷体" w:cs="楷体"/>
                <w:szCs w:val="21"/>
              </w:rPr>
              <w:t>其中三公经费支出</w:t>
            </w:r>
          </w:p>
        </w:tc>
        <w:tc>
          <w:tcPr>
            <w:tcW w:w="1172" w:type="dxa"/>
            <w:gridSpan w:val="2"/>
            <w:vAlign w:val="center"/>
          </w:tcPr>
          <w:p>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12.21</w:t>
            </w:r>
          </w:p>
        </w:tc>
        <w:tc>
          <w:tcPr>
            <w:tcW w:w="1559" w:type="dxa"/>
            <w:gridSpan w:val="3"/>
            <w:vMerge w:val="continue"/>
            <w:vAlign w:val="top"/>
          </w:tcPr>
          <w:p>
            <w:pPr>
              <w:jc w:val="center"/>
              <w:rPr>
                <w:rFonts w:ascii="楷体" w:hAnsi="楷体" w:eastAsia="楷体" w:cs="楷体"/>
                <w:szCs w:val="21"/>
              </w:rPr>
            </w:pPr>
          </w:p>
        </w:tc>
        <w:tc>
          <w:tcPr>
            <w:tcW w:w="993" w:type="dxa"/>
            <w:vMerge w:val="continue"/>
            <w:vAlign w:val="top"/>
          </w:tcPr>
          <w:p>
            <w:pPr>
              <w:jc w:val="center"/>
              <w:rPr>
                <w:rFonts w:ascii="楷体" w:hAnsi="楷体" w:eastAsia="楷体" w:cs="楷体"/>
                <w:szCs w:val="21"/>
              </w:rPr>
            </w:pPr>
          </w:p>
        </w:tc>
        <w:tc>
          <w:tcPr>
            <w:tcW w:w="494" w:type="dxa"/>
            <w:vMerge w:val="continue"/>
            <w:vAlign w:val="center"/>
          </w:tcPr>
          <w:p>
            <w:pPr>
              <w:jc w:val="center"/>
              <w:rPr>
                <w:rFonts w:ascii="楷体" w:hAnsi="楷体" w:eastAsia="楷体" w:cs="楷体"/>
                <w:szCs w:val="21"/>
              </w:rPr>
            </w:pPr>
          </w:p>
        </w:tc>
        <w:tc>
          <w:tcPr>
            <w:tcW w:w="1043" w:type="dxa"/>
            <w:gridSpan w:val="2"/>
            <w:vMerge w:val="continue"/>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816" w:hRule="exact"/>
          <w:jc w:val="center"/>
        </w:trPr>
        <w:tc>
          <w:tcPr>
            <w:tcW w:w="705" w:type="dxa"/>
            <w:vMerge w:val="restart"/>
            <w:vAlign w:val="center"/>
          </w:tcPr>
          <w:p>
            <w:pPr>
              <w:spacing w:line="560" w:lineRule="exact"/>
              <w:jc w:val="center"/>
              <w:rPr>
                <w:rFonts w:ascii="楷体" w:hAnsi="楷体" w:eastAsia="楷体" w:cs="楷体"/>
                <w:szCs w:val="21"/>
              </w:rPr>
            </w:pPr>
            <w:r>
              <w:rPr>
                <w:rFonts w:hint="eastAsia" w:ascii="楷体" w:hAnsi="楷体" w:eastAsia="楷体" w:cs="楷体"/>
                <w:szCs w:val="21"/>
              </w:rPr>
              <w:t>实施情况</w:t>
            </w:r>
          </w:p>
        </w:tc>
        <w:tc>
          <w:tcPr>
            <w:tcW w:w="1185" w:type="dxa"/>
            <w:vAlign w:val="center"/>
          </w:tcPr>
          <w:p>
            <w:pPr>
              <w:jc w:val="center"/>
              <w:rPr>
                <w:rFonts w:ascii="楷体" w:hAnsi="楷体" w:eastAsia="楷体" w:cs="楷体"/>
                <w:szCs w:val="21"/>
              </w:rPr>
            </w:pPr>
            <w:r>
              <w:rPr>
                <w:rFonts w:hint="eastAsia" w:ascii="楷体" w:hAnsi="楷体" w:eastAsia="楷体" w:cs="楷体"/>
                <w:szCs w:val="21"/>
              </w:rPr>
              <w:t>财政供养人员控制情况</w:t>
            </w:r>
          </w:p>
        </w:tc>
        <w:tc>
          <w:tcPr>
            <w:tcW w:w="7444" w:type="dxa"/>
            <w:gridSpan w:val="10"/>
            <w:vAlign w:val="center"/>
          </w:tcPr>
          <w:p>
            <w:pPr>
              <w:rPr>
                <w:rFonts w:ascii="楷体" w:hAnsi="楷体" w:eastAsia="楷体" w:cs="楷体"/>
                <w:szCs w:val="21"/>
              </w:rPr>
            </w:pPr>
            <w:r>
              <w:rPr>
                <w:rFonts w:hint="eastAsia" w:ascii="楷体" w:hAnsi="楷体" w:eastAsia="楷体" w:cs="楷体"/>
                <w:szCs w:val="21"/>
              </w:rPr>
              <w:t>是否存在超编超配人员：</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1437" w:hRule="exact"/>
          <w:jc w:val="center"/>
        </w:trPr>
        <w:tc>
          <w:tcPr>
            <w:tcW w:w="705" w:type="dxa"/>
            <w:vMerge w:val="continue"/>
            <w:vAlign w:val="center"/>
          </w:tcPr>
          <w:p>
            <w:pPr>
              <w:widowControl/>
              <w:jc w:val="left"/>
              <w:rPr>
                <w:rFonts w:ascii="楷体" w:hAnsi="楷体" w:eastAsia="楷体" w:cs="楷体"/>
                <w:szCs w:val="21"/>
              </w:rPr>
            </w:pPr>
          </w:p>
        </w:tc>
        <w:tc>
          <w:tcPr>
            <w:tcW w:w="1185" w:type="dxa"/>
            <w:vAlign w:val="center"/>
          </w:tcPr>
          <w:p>
            <w:pPr>
              <w:spacing w:line="240" w:lineRule="atLeast"/>
              <w:jc w:val="center"/>
              <w:rPr>
                <w:rFonts w:ascii="楷体" w:hAnsi="楷体" w:eastAsia="楷体" w:cs="楷体"/>
                <w:szCs w:val="21"/>
              </w:rPr>
            </w:pPr>
            <w:r>
              <w:rPr>
                <w:rFonts w:hint="eastAsia" w:ascii="楷体" w:hAnsi="楷体" w:eastAsia="楷体" w:cs="楷体"/>
                <w:szCs w:val="21"/>
              </w:rPr>
              <w:t>三公经费管理情况</w:t>
            </w:r>
          </w:p>
        </w:tc>
        <w:tc>
          <w:tcPr>
            <w:tcW w:w="7444" w:type="dxa"/>
            <w:gridSpan w:val="10"/>
            <w:vAlign w:val="center"/>
          </w:tcPr>
          <w:p>
            <w:pPr>
              <w:rPr>
                <w:rFonts w:ascii="楷体" w:hAnsi="楷体" w:eastAsia="楷体" w:cs="楷体"/>
                <w:szCs w:val="21"/>
              </w:rPr>
            </w:pPr>
            <w:r>
              <w:rPr>
                <w:rFonts w:hint="eastAsia" w:ascii="楷体" w:hAnsi="楷体" w:eastAsia="楷体" w:cs="楷体"/>
                <w:szCs w:val="21"/>
              </w:rPr>
              <w:t>是否制定“三公”经费管理办法：是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招待费用是否明确招待标准和招待人数：是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jc w:val="left"/>
              <w:rPr>
                <w:rFonts w:ascii="楷体" w:hAnsi="楷体" w:eastAsia="楷体" w:cs="楷体"/>
                <w:szCs w:val="21"/>
              </w:rPr>
            </w:pPr>
            <w:r>
              <w:rPr>
                <w:rFonts w:hint="eastAsia" w:ascii="楷体" w:hAnsi="楷体" w:eastAsia="楷体" w:cs="楷体"/>
                <w:szCs w:val="21"/>
              </w:rPr>
              <w:t>公务用车购置运行费是否比上年度下降</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jc w:val="left"/>
              <w:rPr>
                <w:rFonts w:ascii="楷体" w:hAnsi="楷体" w:eastAsia="楷体" w:cs="楷体"/>
                <w:szCs w:val="21"/>
              </w:rPr>
            </w:pPr>
            <w:r>
              <w:rPr>
                <w:rFonts w:hint="eastAsia" w:ascii="楷体" w:hAnsi="楷体" w:eastAsia="楷体" w:cs="楷体"/>
                <w:szCs w:val="21"/>
              </w:rPr>
              <w:t>三公经费是否比年度下降：是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1125" w:hRule="exact"/>
          <w:jc w:val="center"/>
        </w:trPr>
        <w:tc>
          <w:tcPr>
            <w:tcW w:w="705" w:type="dxa"/>
            <w:vMerge w:val="continue"/>
            <w:vAlign w:val="center"/>
          </w:tcPr>
          <w:p>
            <w:pPr>
              <w:widowControl/>
              <w:jc w:val="left"/>
              <w:rPr>
                <w:rFonts w:ascii="楷体" w:hAnsi="楷体" w:eastAsia="楷体" w:cs="楷体"/>
                <w:szCs w:val="21"/>
              </w:rPr>
            </w:pPr>
          </w:p>
        </w:tc>
        <w:tc>
          <w:tcPr>
            <w:tcW w:w="1185" w:type="dxa"/>
            <w:vAlign w:val="center"/>
          </w:tcPr>
          <w:p>
            <w:pPr>
              <w:spacing w:line="240" w:lineRule="atLeast"/>
              <w:jc w:val="center"/>
              <w:rPr>
                <w:rFonts w:ascii="楷体" w:hAnsi="楷体" w:eastAsia="楷体" w:cs="楷体"/>
                <w:szCs w:val="21"/>
              </w:rPr>
            </w:pPr>
            <w:r>
              <w:rPr>
                <w:rFonts w:hint="eastAsia" w:ascii="楷体" w:hAnsi="楷体" w:eastAsia="楷体" w:cs="楷体"/>
                <w:szCs w:val="21"/>
              </w:rPr>
              <w:t>非税收入完成情况</w:t>
            </w:r>
          </w:p>
        </w:tc>
        <w:tc>
          <w:tcPr>
            <w:tcW w:w="7444" w:type="dxa"/>
            <w:gridSpan w:val="10"/>
            <w:vAlign w:val="center"/>
          </w:tcPr>
          <w:p>
            <w:pPr>
              <w:rPr>
                <w:rFonts w:ascii="楷体" w:hAnsi="楷体" w:eastAsia="楷体" w:cs="楷体"/>
                <w:szCs w:val="21"/>
              </w:rPr>
            </w:pPr>
            <w:r>
              <w:rPr>
                <w:rFonts w:hint="eastAsia" w:ascii="楷体" w:hAnsi="楷体" w:eastAsia="楷体" w:cs="楷体"/>
                <w:szCs w:val="21"/>
              </w:rPr>
              <w:t>年度非税收入是否完成</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是否实行收支两条线管理：是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有无截留、坐支、转移等现象</w:t>
            </w:r>
            <w:r>
              <w:rPr>
                <w:rFonts w:ascii="楷体" w:hAnsi="楷体" w:eastAsia="楷体" w:cs="楷体"/>
                <w:szCs w:val="21"/>
              </w:rPr>
              <w:t>:</w:t>
            </w:r>
            <w:r>
              <w:rPr>
                <w:rFonts w:hint="eastAsia" w:ascii="楷体" w:hAnsi="楷体" w:eastAsia="楷体" w:cs="楷体"/>
                <w:szCs w:val="21"/>
              </w:rPr>
              <w:t>有□</w:t>
            </w:r>
            <w:r>
              <w:rPr>
                <w:rFonts w:ascii="楷体" w:hAnsi="楷体" w:eastAsia="楷体" w:cs="楷体"/>
                <w:szCs w:val="21"/>
              </w:rPr>
              <w:t xml:space="preserve">     </w:t>
            </w:r>
            <w:r>
              <w:rPr>
                <w:rFonts w:hint="eastAsia" w:ascii="楷体" w:hAnsi="楷体" w:eastAsia="楷体" w:cs="楷体"/>
                <w:szCs w:val="21"/>
              </w:rPr>
              <w:t>无</w:t>
            </w:r>
            <w:r>
              <w:rPr>
                <w:rFonts w:hint="eastAsia" w:ascii="楷体" w:hAnsi="楷体" w:eastAsia="楷体" w:cs="楷体"/>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809" w:hRule="exact"/>
          <w:jc w:val="center"/>
        </w:trPr>
        <w:tc>
          <w:tcPr>
            <w:tcW w:w="705" w:type="dxa"/>
            <w:vMerge w:val="continue"/>
            <w:vAlign w:val="center"/>
          </w:tcPr>
          <w:p>
            <w:pPr>
              <w:widowControl/>
              <w:jc w:val="left"/>
              <w:rPr>
                <w:rFonts w:ascii="楷体" w:hAnsi="楷体" w:eastAsia="楷体" w:cs="楷体"/>
                <w:szCs w:val="21"/>
              </w:rPr>
            </w:pPr>
          </w:p>
        </w:tc>
        <w:tc>
          <w:tcPr>
            <w:tcW w:w="1185" w:type="dxa"/>
            <w:vAlign w:val="center"/>
          </w:tcPr>
          <w:p>
            <w:pPr>
              <w:spacing w:line="360" w:lineRule="exact"/>
              <w:jc w:val="center"/>
              <w:rPr>
                <w:rFonts w:ascii="楷体" w:hAnsi="楷体" w:eastAsia="楷体" w:cs="楷体"/>
                <w:szCs w:val="21"/>
              </w:rPr>
            </w:pPr>
            <w:r>
              <w:rPr>
                <w:rFonts w:hint="eastAsia" w:ascii="楷体" w:hAnsi="楷体" w:eastAsia="楷体" w:cs="楷体"/>
                <w:szCs w:val="21"/>
              </w:rPr>
              <w:t>政府采购及金额</w:t>
            </w:r>
          </w:p>
        </w:tc>
        <w:tc>
          <w:tcPr>
            <w:tcW w:w="7444" w:type="dxa"/>
            <w:gridSpan w:val="10"/>
            <w:vAlign w:val="center"/>
          </w:tcPr>
          <w:p>
            <w:pPr>
              <w:spacing w:line="360" w:lineRule="exact"/>
              <w:rPr>
                <w:rFonts w:ascii="楷体" w:hAnsi="楷体" w:eastAsia="楷体" w:cs="楷体"/>
                <w:szCs w:val="21"/>
              </w:rPr>
            </w:pPr>
            <w:r>
              <w:rPr>
                <w:rFonts w:hint="eastAsia" w:ascii="楷体" w:hAnsi="楷体" w:eastAsia="楷体" w:cs="楷体"/>
                <w:szCs w:val="21"/>
              </w:rPr>
              <w:t>年度是否制定了政府采购计划：是</w:t>
            </w:r>
            <w:r>
              <w:rPr>
                <w:rFonts w:ascii="楷体" w:hAnsi="楷体" w:eastAsia="楷体" w:cs="楷体"/>
                <w:szCs w:val="21"/>
              </w:rPr>
              <w:t xml:space="preserve"> </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spacing w:line="360" w:lineRule="exact"/>
              <w:rPr>
                <w:rFonts w:ascii="楷体" w:hAnsi="楷体" w:eastAsia="楷体" w:cs="楷体"/>
                <w:szCs w:val="21"/>
              </w:rPr>
            </w:pPr>
            <w:r>
              <w:rPr>
                <w:rFonts w:hint="eastAsia" w:ascii="楷体" w:hAnsi="楷体" w:eastAsia="楷体" w:cs="楷体"/>
                <w:szCs w:val="21"/>
              </w:rPr>
              <w:t>应采购金额</w:t>
            </w:r>
            <w:r>
              <w:rPr>
                <w:rFonts w:hint="eastAsia" w:ascii="楷体" w:hAnsi="楷体" w:eastAsia="楷体" w:cs="楷体"/>
                <w:szCs w:val="21"/>
                <w:lang w:val="en-US" w:eastAsia="zh-CN"/>
              </w:rPr>
              <w:t>20.67</w:t>
            </w:r>
            <w:r>
              <w:rPr>
                <w:rFonts w:hint="eastAsia" w:ascii="楷体" w:hAnsi="楷体" w:eastAsia="楷体" w:cs="楷体"/>
                <w:szCs w:val="21"/>
              </w:rPr>
              <w:t>万元，实际采购金额</w:t>
            </w:r>
            <w:r>
              <w:rPr>
                <w:rFonts w:hint="eastAsia" w:ascii="楷体" w:hAnsi="楷体" w:eastAsia="楷体" w:cs="楷体"/>
                <w:szCs w:val="21"/>
                <w:lang w:val="en-US" w:eastAsia="zh-CN"/>
              </w:rPr>
              <w:t>20.67</w:t>
            </w:r>
            <w:r>
              <w:rPr>
                <w:rFonts w:hint="eastAsia" w:ascii="楷体" w:hAnsi="楷体" w:eastAsia="楷体" w:cs="楷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1661" w:hRule="exact"/>
          <w:jc w:val="center"/>
        </w:trPr>
        <w:tc>
          <w:tcPr>
            <w:tcW w:w="705" w:type="dxa"/>
            <w:vMerge w:val="restart"/>
            <w:vAlign w:val="center"/>
          </w:tcPr>
          <w:p>
            <w:pPr>
              <w:widowControl/>
              <w:jc w:val="left"/>
              <w:rPr>
                <w:rFonts w:ascii="楷体" w:hAnsi="楷体" w:eastAsia="楷体" w:cs="楷体"/>
                <w:szCs w:val="21"/>
              </w:rPr>
            </w:pPr>
          </w:p>
        </w:tc>
        <w:tc>
          <w:tcPr>
            <w:tcW w:w="1185" w:type="dxa"/>
            <w:vAlign w:val="center"/>
          </w:tcPr>
          <w:p>
            <w:pPr>
              <w:spacing w:line="360" w:lineRule="exact"/>
              <w:jc w:val="center"/>
              <w:rPr>
                <w:rFonts w:ascii="楷体" w:hAnsi="楷体" w:eastAsia="楷体" w:cs="楷体"/>
                <w:szCs w:val="21"/>
              </w:rPr>
            </w:pPr>
            <w:r>
              <w:rPr>
                <w:rFonts w:hint="eastAsia" w:ascii="楷体" w:hAnsi="楷体" w:eastAsia="楷体" w:cs="楷体"/>
                <w:szCs w:val="21"/>
              </w:rPr>
              <w:t>预算执行</w:t>
            </w:r>
          </w:p>
        </w:tc>
        <w:tc>
          <w:tcPr>
            <w:tcW w:w="7444" w:type="dxa"/>
            <w:gridSpan w:val="10"/>
            <w:vAlign w:val="center"/>
          </w:tcPr>
          <w:p>
            <w:pPr>
              <w:rPr>
                <w:rFonts w:ascii="楷体" w:hAnsi="楷体" w:eastAsia="楷体" w:cs="楷体"/>
                <w:szCs w:val="21"/>
              </w:rPr>
            </w:pPr>
            <w:r>
              <w:rPr>
                <w:rFonts w:hint="eastAsia" w:ascii="楷体" w:hAnsi="楷体" w:eastAsia="楷体" w:cs="楷体"/>
                <w:szCs w:val="21"/>
              </w:rPr>
              <w:t>本年度是否追加了预算</w:t>
            </w:r>
            <w:r>
              <w:rPr>
                <w:rFonts w:ascii="楷体" w:hAnsi="楷体" w:eastAsia="楷体" w:cs="楷体"/>
                <w:szCs w:val="21"/>
              </w:rPr>
              <w:t>:</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追加金额</w:t>
            </w:r>
            <w:r>
              <w:rPr>
                <w:rFonts w:ascii="楷体" w:hAnsi="楷体" w:eastAsia="楷体" w:cs="楷体"/>
                <w:szCs w:val="21"/>
              </w:rPr>
              <w:t xml:space="preserve">    </w:t>
            </w:r>
            <w:r>
              <w:rPr>
                <w:rFonts w:hint="eastAsia" w:ascii="楷体" w:hAnsi="楷体" w:eastAsia="楷体" w:cs="楷体"/>
                <w:szCs w:val="21"/>
              </w:rPr>
              <w:t>万元</w:t>
            </w:r>
          </w:p>
          <w:p>
            <w:pPr>
              <w:rPr>
                <w:rFonts w:ascii="楷体" w:hAnsi="楷体" w:eastAsia="楷体" w:cs="楷体"/>
                <w:szCs w:val="21"/>
              </w:rPr>
            </w:pPr>
            <w:r>
              <w:rPr>
                <w:rFonts w:hint="eastAsia" w:ascii="楷体" w:hAnsi="楷体" w:eastAsia="楷体" w:cs="楷体"/>
                <w:szCs w:val="21"/>
              </w:rPr>
              <w:t>本年度是否有结余</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rPr>
              <w:sym w:font="Wingdings 2" w:char="0052"/>
            </w:r>
            <w:r>
              <w:rPr>
                <w:rFonts w:ascii="楷体" w:hAnsi="楷体" w:eastAsia="楷体" w:cs="楷体"/>
                <w:szCs w:val="21"/>
              </w:rPr>
              <w:t>,</w:t>
            </w:r>
            <w:r>
              <w:rPr>
                <w:rFonts w:hint="eastAsia" w:ascii="楷体" w:hAnsi="楷体" w:eastAsia="楷体" w:cs="楷体"/>
                <w:szCs w:val="21"/>
              </w:rPr>
              <w:t>结余金额</w:t>
            </w:r>
            <w:r>
              <w:rPr>
                <w:rFonts w:ascii="楷体" w:hAnsi="楷体" w:eastAsia="楷体" w:cs="楷体"/>
                <w:szCs w:val="21"/>
              </w:rPr>
              <w:t xml:space="preserve">     </w:t>
            </w:r>
            <w:r>
              <w:rPr>
                <w:rFonts w:hint="eastAsia" w:ascii="楷体" w:hAnsi="楷体" w:eastAsia="楷体" w:cs="楷体"/>
                <w:szCs w:val="21"/>
              </w:rPr>
              <w:t>万元</w:t>
            </w:r>
          </w:p>
          <w:p>
            <w:pPr>
              <w:jc w:val="left"/>
              <w:rPr>
                <w:rFonts w:ascii="楷体" w:hAnsi="楷体" w:eastAsia="楷体" w:cs="楷体"/>
                <w:szCs w:val="21"/>
              </w:rPr>
            </w:pPr>
            <w:r>
              <w:rPr>
                <w:rFonts w:hint="eastAsia" w:ascii="楷体" w:hAnsi="楷体" w:eastAsia="楷体" w:cs="楷体"/>
                <w:szCs w:val="21"/>
              </w:rPr>
              <w:t>预决算信息是否公开</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jc w:val="left"/>
              <w:rPr>
                <w:rFonts w:ascii="楷体" w:hAnsi="楷体" w:eastAsia="楷体" w:cs="楷体"/>
                <w:szCs w:val="21"/>
              </w:rPr>
            </w:pPr>
            <w:r>
              <w:rPr>
                <w:rFonts w:hint="eastAsia" w:ascii="楷体" w:hAnsi="楷体" w:eastAsia="楷体" w:cs="楷体"/>
                <w:szCs w:val="21"/>
              </w:rPr>
              <w:t>公开时间</w:t>
            </w:r>
            <w:r>
              <w:rPr>
                <w:rFonts w:ascii="楷体" w:hAnsi="楷体" w:eastAsia="楷体" w:cs="楷体"/>
                <w:szCs w:val="21"/>
              </w:rPr>
              <w:t>:</w:t>
            </w:r>
            <w:r>
              <w:rPr>
                <w:rFonts w:hint="eastAsia" w:ascii="楷体" w:hAnsi="楷体" w:eastAsia="楷体" w:cs="楷体"/>
                <w:szCs w:val="21"/>
                <w:lang w:val="en-US" w:eastAsia="zh-CN"/>
              </w:rPr>
              <w:t>2021</w:t>
            </w:r>
            <w:r>
              <w:rPr>
                <w:rFonts w:hint="eastAsia" w:ascii="楷体" w:hAnsi="楷体" w:eastAsia="楷体" w:cs="楷体"/>
                <w:szCs w:val="21"/>
              </w:rPr>
              <w:t>年</w:t>
            </w:r>
            <w:r>
              <w:rPr>
                <w:rFonts w:hint="eastAsia" w:ascii="楷体" w:hAnsi="楷体" w:eastAsia="楷体" w:cs="楷体"/>
                <w:szCs w:val="21"/>
                <w:lang w:val="en-US" w:eastAsia="zh-CN"/>
              </w:rPr>
              <w:t>1</w:t>
            </w:r>
            <w:r>
              <w:rPr>
                <w:rFonts w:hint="eastAsia" w:ascii="楷体" w:hAnsi="楷体" w:eastAsia="楷体" w:cs="楷体"/>
                <w:szCs w:val="21"/>
              </w:rPr>
              <w:t>月</w:t>
            </w:r>
            <w:r>
              <w:rPr>
                <w:rFonts w:hint="eastAsia" w:ascii="楷体" w:hAnsi="楷体" w:eastAsia="楷体" w:cs="楷体"/>
                <w:szCs w:val="21"/>
                <w:lang w:val="en-US" w:eastAsia="zh-CN"/>
              </w:rPr>
              <w:t>25</w:t>
            </w:r>
            <w:r>
              <w:rPr>
                <w:rFonts w:hint="eastAsia" w:ascii="楷体" w:hAnsi="楷体" w:eastAsia="楷体" w:cs="楷体"/>
                <w:szCs w:val="21"/>
              </w:rPr>
              <w:t>日</w:t>
            </w:r>
          </w:p>
          <w:p>
            <w:pPr>
              <w:jc w:val="left"/>
              <w:rPr>
                <w:rFonts w:ascii="楷体" w:hAnsi="楷体" w:eastAsia="楷体" w:cs="楷体"/>
                <w:szCs w:val="21"/>
              </w:rPr>
            </w:pPr>
            <w:r>
              <w:rPr>
                <w:rFonts w:hint="eastAsia" w:ascii="楷体" w:hAnsi="楷体" w:eastAsia="楷体" w:cs="楷体"/>
                <w:szCs w:val="21"/>
              </w:rPr>
              <w:t>公开方式</w:t>
            </w:r>
            <w:r>
              <w:rPr>
                <w:rFonts w:ascii="楷体" w:hAnsi="楷体" w:eastAsia="楷体" w:cs="楷体"/>
                <w:szCs w:val="21"/>
              </w:rPr>
              <w:t>:</w:t>
            </w:r>
            <w:r>
              <w:rPr>
                <w:rFonts w:hint="eastAsia" w:ascii="楷体" w:hAnsi="楷体" w:eastAsia="楷体" w:cs="楷体"/>
                <w:szCs w:val="21"/>
              </w:rPr>
              <w:t>门户网站</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单位内部□</w:t>
            </w:r>
            <w:r>
              <w:rPr>
                <w:rFonts w:ascii="楷体" w:hAnsi="楷体" w:eastAsia="楷体" w:cs="楷体"/>
                <w:szCs w:val="21"/>
              </w:rPr>
              <w:t xml:space="preserve">      </w:t>
            </w:r>
            <w:r>
              <w:rPr>
                <w:rFonts w:hint="eastAsia" w:ascii="楷体" w:hAnsi="楷体" w:eastAsia="楷体" w:cs="楷体"/>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997" w:hRule="exact"/>
          <w:jc w:val="center"/>
        </w:trPr>
        <w:tc>
          <w:tcPr>
            <w:tcW w:w="705" w:type="dxa"/>
            <w:vMerge w:val="continue"/>
            <w:vAlign w:val="center"/>
          </w:tcPr>
          <w:p>
            <w:pPr>
              <w:widowControl/>
              <w:jc w:val="left"/>
              <w:rPr>
                <w:rFonts w:ascii="楷体" w:hAnsi="楷体" w:eastAsia="楷体" w:cs="楷体"/>
                <w:szCs w:val="21"/>
              </w:rPr>
            </w:pPr>
          </w:p>
        </w:tc>
        <w:tc>
          <w:tcPr>
            <w:tcW w:w="1185" w:type="dxa"/>
            <w:vAlign w:val="center"/>
          </w:tcPr>
          <w:p>
            <w:pPr>
              <w:spacing w:line="240" w:lineRule="atLeast"/>
              <w:rPr>
                <w:rFonts w:ascii="楷体" w:hAnsi="楷体" w:eastAsia="楷体" w:cs="楷体"/>
                <w:szCs w:val="21"/>
              </w:rPr>
            </w:pPr>
            <w:r>
              <w:rPr>
                <w:rFonts w:hint="eastAsia" w:ascii="楷体" w:hAnsi="楷体" w:eastAsia="楷体" w:cs="楷体"/>
                <w:szCs w:val="21"/>
              </w:rPr>
              <w:t>财务管理</w:t>
            </w:r>
          </w:p>
        </w:tc>
        <w:tc>
          <w:tcPr>
            <w:tcW w:w="7444" w:type="dxa"/>
            <w:gridSpan w:val="10"/>
            <w:vAlign w:val="center"/>
          </w:tcPr>
          <w:p>
            <w:pPr>
              <w:rPr>
                <w:rFonts w:ascii="楷体" w:hAnsi="楷体" w:eastAsia="楷体" w:cs="楷体"/>
                <w:szCs w:val="21"/>
              </w:rPr>
            </w:pPr>
            <w:r>
              <w:rPr>
                <w:rFonts w:hint="eastAsia" w:ascii="楷体" w:hAnsi="楷体" w:eastAsia="楷体" w:cs="楷体"/>
                <w:szCs w:val="21"/>
              </w:rPr>
              <w:t>是否制定财务管理、会计核算等制度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会计机构是否按规定设置</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会计人员是否持证上岗</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Arial" w:hAnsi="Arial" w:cs="Arial"/>
                <w:szCs w:val="21"/>
              </w:rPr>
              <w:t xml:space="preserve">  </w:t>
            </w:r>
            <w:r>
              <w:rPr>
                <w:rFonts w:hint="eastAsia" w:ascii="楷体" w:hAnsi="楷体" w:eastAsia="楷体" w:cs="楷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997" w:hRule="exact"/>
          <w:jc w:val="center"/>
        </w:trPr>
        <w:tc>
          <w:tcPr>
            <w:tcW w:w="705" w:type="dxa"/>
            <w:vMerge w:val="continue"/>
            <w:vAlign w:val="center"/>
          </w:tcPr>
          <w:p>
            <w:pPr>
              <w:widowControl/>
              <w:jc w:val="left"/>
              <w:rPr>
                <w:rFonts w:ascii="楷体" w:hAnsi="楷体" w:eastAsia="楷体" w:cs="楷体"/>
                <w:szCs w:val="21"/>
              </w:rPr>
            </w:pPr>
          </w:p>
        </w:tc>
        <w:tc>
          <w:tcPr>
            <w:tcW w:w="1185" w:type="dxa"/>
            <w:vAlign w:val="center"/>
          </w:tcPr>
          <w:p>
            <w:pPr>
              <w:spacing w:line="400" w:lineRule="exact"/>
              <w:rPr>
                <w:rFonts w:ascii="楷体" w:hAnsi="楷体" w:eastAsia="楷体" w:cs="楷体"/>
                <w:szCs w:val="21"/>
              </w:rPr>
            </w:pPr>
            <w:r>
              <w:rPr>
                <w:rFonts w:hint="eastAsia" w:ascii="楷体" w:hAnsi="楷体" w:eastAsia="楷体" w:cs="楷体"/>
                <w:szCs w:val="21"/>
              </w:rPr>
              <w:t>资金管理</w:t>
            </w:r>
          </w:p>
        </w:tc>
        <w:tc>
          <w:tcPr>
            <w:tcW w:w="7444" w:type="dxa"/>
            <w:gridSpan w:val="10"/>
            <w:vAlign w:val="center"/>
          </w:tcPr>
          <w:p>
            <w:pPr>
              <w:rPr>
                <w:rFonts w:ascii="楷体" w:hAnsi="楷体" w:eastAsia="楷体" w:cs="楷体"/>
                <w:szCs w:val="21"/>
              </w:rPr>
            </w:pPr>
            <w:r>
              <w:rPr>
                <w:rFonts w:hint="eastAsia" w:ascii="楷体" w:hAnsi="楷体" w:eastAsia="楷体" w:cs="楷体"/>
                <w:szCs w:val="21"/>
              </w:rPr>
              <w:t>是否制定资金管理办法</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资金拨付有完整的审批程序</w:t>
            </w:r>
            <w:r>
              <w:rPr>
                <w:rFonts w:ascii="楷体" w:hAnsi="楷体" w:eastAsia="楷体" w:cs="楷体"/>
                <w:szCs w:val="21"/>
              </w:rPr>
              <w:t xml:space="preserve">: </w:t>
            </w:r>
            <w:r>
              <w:rPr>
                <w:rFonts w:hint="eastAsia" w:ascii="楷体" w:hAnsi="楷体" w:eastAsia="楷体" w:cs="楷体"/>
                <w:szCs w:val="21"/>
              </w:rPr>
              <w:t>有</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无□</w:t>
            </w:r>
          </w:p>
          <w:p>
            <w:pPr>
              <w:ind w:left="3885" w:hanging="3885" w:hangingChars="1850"/>
              <w:rPr>
                <w:rFonts w:ascii="楷体" w:hAnsi="楷体" w:eastAsia="楷体" w:cs="楷体"/>
                <w:szCs w:val="21"/>
              </w:rPr>
            </w:pPr>
            <w:r>
              <w:rPr>
                <w:rFonts w:hint="eastAsia" w:ascii="楷体" w:hAnsi="楷体" w:eastAsia="楷体" w:cs="楷体"/>
                <w:szCs w:val="21"/>
              </w:rPr>
              <w:t>资金使用是否存在违规使用资金、乱发津补贴奖金现象：是□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1280" w:hRule="exact"/>
          <w:jc w:val="center"/>
        </w:trPr>
        <w:tc>
          <w:tcPr>
            <w:tcW w:w="705" w:type="dxa"/>
            <w:vMerge w:val="continue"/>
            <w:vAlign w:val="center"/>
          </w:tcPr>
          <w:p>
            <w:pPr>
              <w:widowControl/>
              <w:jc w:val="left"/>
              <w:rPr>
                <w:rFonts w:ascii="楷体" w:hAnsi="楷体" w:eastAsia="楷体" w:cs="楷体"/>
                <w:szCs w:val="21"/>
              </w:rPr>
            </w:pPr>
          </w:p>
        </w:tc>
        <w:tc>
          <w:tcPr>
            <w:tcW w:w="1185" w:type="dxa"/>
            <w:vAlign w:val="center"/>
          </w:tcPr>
          <w:p>
            <w:pPr>
              <w:spacing w:line="240" w:lineRule="atLeast"/>
              <w:jc w:val="center"/>
              <w:rPr>
                <w:rFonts w:ascii="楷体" w:hAnsi="楷体" w:eastAsia="楷体" w:cs="楷体"/>
                <w:szCs w:val="21"/>
              </w:rPr>
            </w:pPr>
            <w:r>
              <w:rPr>
                <w:rFonts w:hint="eastAsia" w:ascii="楷体" w:hAnsi="楷体" w:eastAsia="楷体" w:cs="楷体"/>
                <w:szCs w:val="21"/>
              </w:rPr>
              <w:t>资产管理</w:t>
            </w:r>
          </w:p>
        </w:tc>
        <w:tc>
          <w:tcPr>
            <w:tcW w:w="7444" w:type="dxa"/>
            <w:gridSpan w:val="10"/>
            <w:vAlign w:val="center"/>
          </w:tcPr>
          <w:p>
            <w:pPr>
              <w:rPr>
                <w:rFonts w:ascii="楷体" w:hAnsi="楷体" w:eastAsia="楷体" w:cs="楷体"/>
                <w:szCs w:val="21"/>
              </w:rPr>
            </w:pPr>
            <w:r>
              <w:rPr>
                <w:rFonts w:hint="eastAsia" w:ascii="楷体" w:hAnsi="楷体" w:eastAsia="楷体" w:cs="楷体"/>
                <w:szCs w:val="21"/>
              </w:rPr>
              <w:t>是否制定资产管理制度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资产管理、保存、处置是否合理规范</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资产是否产权清晰、两证齐全：是</w:t>
            </w:r>
            <w:r>
              <w:rPr>
                <w:rFonts w:hint="eastAsia" w:ascii="楷体" w:hAnsi="楷体" w:eastAsia="楷体" w:cs="楷体"/>
                <w:szCs w:val="21"/>
              </w:rPr>
              <w:sym w:font="Wingdings 2" w:char="00A3"/>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rPr>
              <w:sym w:font="Wingdings 2" w:char="0052"/>
            </w:r>
          </w:p>
          <w:p>
            <w:pPr>
              <w:rPr>
                <w:rFonts w:ascii="楷体" w:hAnsi="楷体" w:eastAsia="楷体" w:cs="楷体"/>
                <w:szCs w:val="21"/>
              </w:rPr>
            </w:pPr>
            <w:r>
              <w:rPr>
                <w:rFonts w:hint="eastAsia" w:ascii="楷体" w:hAnsi="楷体" w:eastAsia="楷体" w:cs="楷体"/>
                <w:szCs w:val="21"/>
              </w:rPr>
              <w:t>账、表、实、卡是否相符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hint="eastAsia" w:ascii="楷体" w:hAnsi="楷体" w:eastAsia="楷体" w:cs="楷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cantSplit/>
          <w:trHeight w:val="561" w:hRule="exact"/>
          <w:jc w:val="center"/>
        </w:trPr>
        <w:tc>
          <w:tcPr>
            <w:tcW w:w="705" w:type="dxa"/>
            <w:vMerge w:val="continue"/>
            <w:vAlign w:val="center"/>
          </w:tcPr>
          <w:p>
            <w:pPr>
              <w:widowControl/>
              <w:jc w:val="left"/>
              <w:rPr>
                <w:rFonts w:ascii="楷体" w:hAnsi="楷体" w:eastAsia="楷体" w:cs="楷体"/>
                <w:szCs w:val="21"/>
              </w:rPr>
            </w:pPr>
          </w:p>
        </w:tc>
        <w:tc>
          <w:tcPr>
            <w:tcW w:w="1185" w:type="dxa"/>
            <w:vAlign w:val="center"/>
          </w:tcPr>
          <w:p>
            <w:pPr>
              <w:spacing w:line="360" w:lineRule="exact"/>
              <w:jc w:val="center"/>
              <w:rPr>
                <w:rFonts w:ascii="楷体" w:hAnsi="楷体" w:eastAsia="楷体" w:cs="楷体"/>
                <w:szCs w:val="21"/>
              </w:rPr>
            </w:pPr>
            <w:r>
              <w:rPr>
                <w:rFonts w:hint="eastAsia" w:ascii="楷体" w:hAnsi="楷体" w:eastAsia="楷体" w:cs="楷体"/>
                <w:szCs w:val="21"/>
              </w:rPr>
              <w:t>职责履行</w:t>
            </w:r>
          </w:p>
        </w:tc>
        <w:tc>
          <w:tcPr>
            <w:tcW w:w="7444" w:type="dxa"/>
            <w:gridSpan w:val="10"/>
            <w:vAlign w:val="top"/>
          </w:tcPr>
          <w:p>
            <w:pPr>
              <w:spacing w:line="560" w:lineRule="exact"/>
              <w:jc w:val="left"/>
              <w:rPr>
                <w:rFonts w:ascii="楷体" w:hAnsi="楷体" w:eastAsia="楷体" w:cs="楷体"/>
                <w:szCs w:val="21"/>
              </w:rPr>
            </w:pPr>
            <w:r>
              <w:rPr>
                <w:rFonts w:hint="eastAsia" w:ascii="楷体" w:hAnsi="楷体" w:eastAsia="楷体" w:cs="楷体"/>
                <w:szCs w:val="21"/>
              </w:rPr>
              <w:t>重点工作是否全部完成且质量达标</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pPr>
              <w:spacing w:line="560" w:lineRule="exact"/>
              <w:jc w:val="left"/>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trHeight w:val="3738" w:hRule="atLeast"/>
          <w:jc w:val="center"/>
        </w:trPr>
        <w:tc>
          <w:tcPr>
            <w:tcW w:w="705" w:type="dxa"/>
            <w:vAlign w:val="center"/>
          </w:tcPr>
          <w:p>
            <w:pPr>
              <w:spacing w:line="320" w:lineRule="exact"/>
              <w:jc w:val="center"/>
              <w:rPr>
                <w:rFonts w:ascii="楷体" w:hAnsi="楷体" w:eastAsia="楷体" w:cs="楷体"/>
                <w:szCs w:val="21"/>
              </w:rPr>
            </w:pPr>
            <w:r>
              <w:rPr>
                <w:rFonts w:hint="eastAsia" w:ascii="楷体" w:hAnsi="楷体" w:eastAsia="楷体" w:cs="楷体"/>
                <w:szCs w:val="21"/>
              </w:rPr>
              <w:t>部门</w:t>
            </w:r>
          </w:p>
          <w:p>
            <w:pPr>
              <w:spacing w:line="320" w:lineRule="exact"/>
              <w:jc w:val="center"/>
              <w:rPr>
                <w:rFonts w:ascii="楷体" w:hAnsi="楷体" w:eastAsia="楷体" w:cs="楷体"/>
                <w:szCs w:val="21"/>
              </w:rPr>
            </w:pPr>
            <w:r>
              <w:rPr>
                <w:rFonts w:hint="eastAsia" w:ascii="楷体" w:hAnsi="楷体" w:eastAsia="楷体" w:cs="楷体"/>
                <w:szCs w:val="21"/>
              </w:rPr>
              <w:t>主要绩效</w:t>
            </w:r>
          </w:p>
        </w:tc>
        <w:tc>
          <w:tcPr>
            <w:tcW w:w="8629" w:type="dxa"/>
            <w:gridSpan w:val="11"/>
            <w:vAlign w:val="center"/>
          </w:tcPr>
          <w:p>
            <w:pPr>
              <w:ind w:firstLine="105" w:firstLineChars="50"/>
              <w:rPr>
                <w:rFonts w:ascii="楷体" w:hAnsi="楷体" w:eastAsia="楷体" w:cs="楷体"/>
                <w:szCs w:val="21"/>
              </w:rPr>
            </w:pPr>
            <w:r>
              <w:rPr>
                <w:rFonts w:ascii="楷体" w:hAnsi="楷体" w:eastAsia="楷体" w:cs="楷体"/>
                <w:szCs w:val="21"/>
              </w:rPr>
              <w:t>202</w:t>
            </w:r>
            <w:r>
              <w:rPr>
                <w:rFonts w:hint="eastAsia" w:ascii="楷体" w:hAnsi="楷体" w:eastAsia="楷体" w:cs="楷体"/>
                <w:szCs w:val="21"/>
                <w:lang w:val="en-US" w:eastAsia="zh-CN"/>
              </w:rPr>
              <w:t>1</w:t>
            </w:r>
            <w:r>
              <w:rPr>
                <w:rFonts w:hint="eastAsia" w:ascii="楷体" w:hAnsi="楷体" w:eastAsia="楷体" w:cs="楷体"/>
                <w:szCs w:val="21"/>
              </w:rPr>
              <w:t>年，我镇积极履职，强化管理，较好的完成了年度工作目标。主要表现在：</w:t>
            </w:r>
            <w:r>
              <w:rPr>
                <w:rFonts w:hint="eastAsia" w:ascii="楷体" w:hAnsi="楷体" w:eastAsia="楷体" w:cs="楷体"/>
                <w:szCs w:val="21"/>
                <w:lang w:eastAsia="zh-CN"/>
              </w:rPr>
              <w:t>1、聚焦三农工作，农林牧渔稳步增长，粮食产量稳中有升，畜牧水产林业稳量提质，农业产业化进程加快，持续不懈抓好河长制工作，水利基础建设全面推进。</w:t>
            </w:r>
            <w:r>
              <w:rPr>
                <w:rFonts w:hint="eastAsia" w:ascii="楷体" w:hAnsi="楷体" w:eastAsia="楷体" w:cs="楷体"/>
                <w:szCs w:val="21"/>
                <w:lang w:val="en-US" w:eastAsia="zh-CN"/>
              </w:rPr>
              <w:t>2、</w:t>
            </w:r>
            <w:r>
              <w:rPr>
                <w:rFonts w:hint="eastAsia" w:ascii="楷体" w:hAnsi="楷体" w:eastAsia="楷体" w:cs="楷体"/>
                <w:szCs w:val="21"/>
                <w:lang w:eastAsia="zh-CN"/>
              </w:rPr>
              <w:t>聚力乡村振兴，七大行动成效明显，坚持底线思维，动态开展防返贫监测聚焦目标任务，因地制宜推进项目建设，深入推进“五个到户”主题活动，扎实推进危房改造、空心房整治等工作，各项帮扶政策落实到位，“三清一改”村庄清洁战役成效明显。</w:t>
            </w:r>
            <w:r>
              <w:rPr>
                <w:rFonts w:hint="eastAsia" w:ascii="楷体" w:hAnsi="楷体" w:eastAsia="楷体" w:cs="楷体"/>
                <w:szCs w:val="21"/>
                <w:lang w:val="en-US" w:eastAsia="zh-CN"/>
              </w:rPr>
              <w:t>3、</w:t>
            </w:r>
            <w:r>
              <w:rPr>
                <w:rFonts w:hint="eastAsia" w:ascii="楷体" w:hAnsi="楷体" w:eastAsia="楷体" w:cs="楷体"/>
                <w:szCs w:val="21"/>
                <w:lang w:eastAsia="zh-CN"/>
              </w:rPr>
              <w:t>立足污染防治，持续改善生态环境坚决打赢蓝天保卫战。打好禁渔禁捕持续仗。加大违法用地整改力度。</w:t>
            </w:r>
            <w:r>
              <w:rPr>
                <w:rFonts w:hint="eastAsia" w:ascii="楷体" w:hAnsi="楷体" w:eastAsia="楷体" w:cs="楷体"/>
                <w:szCs w:val="21"/>
                <w:lang w:val="en-US" w:eastAsia="zh-CN"/>
              </w:rPr>
              <w:t>4、</w:t>
            </w:r>
            <w:r>
              <w:rPr>
                <w:rFonts w:hint="eastAsia" w:ascii="楷体" w:hAnsi="楷体" w:eastAsia="楷体" w:cs="楷体"/>
                <w:szCs w:val="21"/>
                <w:lang w:eastAsia="zh-CN"/>
              </w:rPr>
              <w:t>抓实风险防范，合力维护社会稳定加强社会稳定风险防范，加强安全生产风险防范，加强疫情防控风险防范。</w:t>
            </w:r>
            <w:r>
              <w:rPr>
                <w:rFonts w:hint="eastAsia" w:ascii="楷体" w:hAnsi="楷体" w:eastAsia="楷体" w:cs="楷体"/>
                <w:szCs w:val="21"/>
              </w:rPr>
              <w:t>为群众生产生活创造良好的环境</w:t>
            </w:r>
            <w:r>
              <w:rPr>
                <w:rFonts w:hint="eastAsia" w:ascii="楷体" w:hAnsi="楷体" w:eastAsia="楷体" w:cs="楷体"/>
                <w:szCs w:val="21"/>
                <w:lang w:eastAsia="zh-CN"/>
              </w:rPr>
              <w:t>。</w:t>
            </w:r>
            <w:r>
              <w:rPr>
                <w:rFonts w:hint="eastAsia" w:ascii="楷体" w:hAnsi="楷体" w:eastAsia="楷体" w:cs="楷体"/>
                <w:szCs w:val="21"/>
                <w:lang w:val="en-US" w:eastAsia="zh-CN"/>
              </w:rPr>
              <w:t>5、</w:t>
            </w:r>
            <w:r>
              <w:rPr>
                <w:rFonts w:hint="eastAsia" w:ascii="楷体" w:hAnsi="楷体" w:eastAsia="楷体" w:cs="楷体"/>
                <w:szCs w:val="21"/>
                <w:lang w:eastAsia="zh-CN"/>
              </w:rPr>
              <w:t>围绕社会事业，致力增进民生福祉，全力兜住民生保障底线，推进文化事业蓬勃发展。</w:t>
            </w:r>
            <w:r>
              <w:rPr>
                <w:rFonts w:hint="eastAsia" w:ascii="楷体" w:hAnsi="楷体" w:eastAsia="楷体" w:cs="楷体"/>
                <w:szCs w:val="21"/>
              </w:rPr>
              <w:t>增强人民群众获得感、幸福感、安全感，保持社会稳定和经济持续健康发展</w:t>
            </w:r>
            <w:r>
              <w:rPr>
                <w:rFonts w:hint="eastAsia" w:ascii="楷体" w:hAnsi="楷体" w:eastAsia="楷体" w:cs="楷体"/>
                <w:szCs w:val="21"/>
                <w:lang w:eastAsia="zh-CN"/>
              </w:rPr>
              <w:t>。不断提高人民群众满意度。</w:t>
            </w:r>
            <w:r>
              <w:rPr>
                <w:rFonts w:hint="eastAsia" w:ascii="楷体" w:hAnsi="楷体" w:eastAsia="楷体" w:cs="楷体"/>
                <w:szCs w:val="21"/>
                <w:lang w:val="en-US" w:eastAsia="zh-CN"/>
              </w:rPr>
              <w:t>6、</w:t>
            </w:r>
            <w:r>
              <w:rPr>
                <w:rFonts w:hint="eastAsia" w:ascii="楷体" w:hAnsi="楷体" w:eastAsia="楷体" w:cs="楷体"/>
                <w:szCs w:val="21"/>
                <w:lang w:eastAsia="zh-CN"/>
              </w:rPr>
              <w:t>夯实党建引领，加强干部队伍建设，</w:t>
            </w:r>
            <w:r>
              <w:rPr>
                <w:rFonts w:hint="eastAsia" w:ascii="楷体" w:hAnsi="楷体" w:eastAsia="楷体" w:cs="楷体"/>
                <w:szCs w:val="21"/>
                <w:lang w:val="en-US" w:eastAsia="zh-CN"/>
              </w:rPr>
              <w:t>稳步完成村（社区）换届选举工作。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trHeight w:val="805" w:hRule="atLeast"/>
          <w:jc w:val="center"/>
        </w:trPr>
        <w:tc>
          <w:tcPr>
            <w:tcW w:w="705" w:type="dxa"/>
            <w:vAlign w:val="center"/>
          </w:tcPr>
          <w:p>
            <w:pPr>
              <w:spacing w:line="320" w:lineRule="exact"/>
              <w:jc w:val="center"/>
              <w:rPr>
                <w:rFonts w:ascii="楷体" w:hAnsi="楷体" w:eastAsia="楷体" w:cs="楷体"/>
                <w:szCs w:val="21"/>
              </w:rPr>
            </w:pPr>
            <w:r>
              <w:rPr>
                <w:rFonts w:hint="eastAsia" w:ascii="仿宋" w:hAnsi="仿宋" w:eastAsia="仿宋" w:cs="楷体"/>
                <w:szCs w:val="21"/>
              </w:rPr>
              <w:t>自评结论</w:t>
            </w:r>
          </w:p>
        </w:tc>
        <w:tc>
          <w:tcPr>
            <w:tcW w:w="8629" w:type="dxa"/>
            <w:gridSpan w:val="11"/>
            <w:vAlign w:val="center"/>
          </w:tcPr>
          <w:p>
            <w:pPr>
              <w:jc w:val="center"/>
              <w:rPr>
                <w:rFonts w:hint="eastAsia" w:ascii="楷体" w:hAnsi="楷体" w:eastAsia="楷体" w:cs="楷体"/>
                <w:szCs w:val="21"/>
                <w:lang w:eastAsia="zh-CN"/>
              </w:rPr>
            </w:pPr>
            <w:r>
              <w:rPr>
                <w:rFonts w:hint="eastAsia" w:ascii="楷体" w:hAnsi="楷体" w:eastAsia="楷体" w:cs="楷体"/>
                <w:szCs w:val="21"/>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trHeight w:val="2348" w:hRule="atLeast"/>
          <w:jc w:val="center"/>
        </w:trPr>
        <w:tc>
          <w:tcPr>
            <w:tcW w:w="705" w:type="dxa"/>
            <w:vAlign w:val="center"/>
          </w:tcPr>
          <w:p>
            <w:pPr>
              <w:spacing w:line="320" w:lineRule="exact"/>
              <w:jc w:val="center"/>
              <w:rPr>
                <w:rFonts w:ascii="楷体" w:hAnsi="楷体" w:eastAsia="楷体" w:cs="楷体"/>
                <w:szCs w:val="21"/>
              </w:rPr>
            </w:pPr>
            <w:r>
              <w:rPr>
                <w:rFonts w:hint="eastAsia" w:ascii="楷体" w:hAnsi="楷体" w:eastAsia="楷体" w:cs="楷体"/>
                <w:szCs w:val="21"/>
              </w:rPr>
              <w:t>问题与建议</w:t>
            </w:r>
          </w:p>
        </w:tc>
        <w:tc>
          <w:tcPr>
            <w:tcW w:w="8629" w:type="dxa"/>
            <w:gridSpan w:val="11"/>
            <w:vAlign w:val="center"/>
          </w:tcPr>
          <w:p>
            <w:pPr>
              <w:rPr>
                <w:rFonts w:hint="eastAsia" w:ascii="楷体" w:hAnsi="楷体" w:eastAsia="楷体" w:cs="楷体"/>
                <w:szCs w:val="21"/>
                <w:lang w:val="en-US" w:eastAsia="zh-CN"/>
              </w:rPr>
            </w:pPr>
            <w:r>
              <w:rPr>
                <w:rFonts w:hint="eastAsia" w:ascii="楷体" w:hAnsi="楷体" w:eastAsia="楷体" w:cs="楷体"/>
                <w:szCs w:val="21"/>
              </w:rPr>
              <w:t>1、加强人员培训。加强</w:t>
            </w:r>
            <w:r>
              <w:rPr>
                <w:rFonts w:hint="eastAsia" w:ascii="楷体" w:hAnsi="楷体" w:eastAsia="楷体" w:cs="楷体"/>
                <w:szCs w:val="21"/>
                <w:lang w:eastAsia="zh-CN"/>
              </w:rPr>
              <w:t>财务</w:t>
            </w:r>
            <w:r>
              <w:rPr>
                <w:rFonts w:hint="eastAsia" w:ascii="楷体" w:hAnsi="楷体" w:eastAsia="楷体" w:cs="楷体"/>
                <w:szCs w:val="21"/>
              </w:rPr>
              <w:t>工作人员</w:t>
            </w:r>
            <w:r>
              <w:rPr>
                <w:rFonts w:hint="eastAsia" w:ascii="楷体" w:hAnsi="楷体" w:eastAsia="楷体" w:cs="楷体"/>
                <w:szCs w:val="21"/>
                <w:lang w:eastAsia="zh-CN"/>
              </w:rPr>
              <w:t>业务</w:t>
            </w:r>
            <w:r>
              <w:rPr>
                <w:rFonts w:hint="eastAsia" w:ascii="楷体" w:hAnsi="楷体" w:eastAsia="楷体" w:cs="楷体"/>
                <w:szCs w:val="21"/>
              </w:rPr>
              <w:t>培训，提高工作人员的专业能力和水平，推动</w:t>
            </w:r>
            <w:r>
              <w:rPr>
                <w:rFonts w:hint="eastAsia" w:ascii="楷体" w:hAnsi="楷体" w:eastAsia="楷体" w:cs="楷体"/>
                <w:szCs w:val="21"/>
                <w:lang w:eastAsia="zh-CN"/>
              </w:rPr>
              <w:t>财务管理以及</w:t>
            </w:r>
            <w:r>
              <w:rPr>
                <w:rFonts w:hint="eastAsia" w:ascii="楷体" w:hAnsi="楷体" w:eastAsia="楷体" w:cs="楷体"/>
                <w:szCs w:val="21"/>
              </w:rPr>
              <w:t>绩效工作全面发展</w:t>
            </w:r>
            <w:r>
              <w:rPr>
                <w:rFonts w:hint="eastAsia" w:ascii="楷体" w:hAnsi="楷体" w:eastAsia="楷体" w:cs="楷体"/>
                <w:szCs w:val="21"/>
                <w:lang w:eastAsia="zh-CN"/>
              </w:rPr>
              <w:t>。</w:t>
            </w:r>
          </w:p>
          <w:p>
            <w:pPr>
              <w:rPr>
                <w:rFonts w:ascii="楷体" w:hAnsi="楷体" w:eastAsia="楷体" w:cs="楷体"/>
                <w:szCs w:val="21"/>
              </w:rPr>
            </w:pPr>
            <w:r>
              <w:rPr>
                <w:rFonts w:hint="eastAsia" w:ascii="楷体" w:hAnsi="楷体" w:eastAsia="楷体" w:cs="楷体"/>
                <w:szCs w:val="21"/>
              </w:rPr>
              <w:t>2、细化预算编制工作，认真做好预算的编制。进一步加强单位内部预算管理意识。</w:t>
            </w:r>
          </w:p>
          <w:p>
            <w:pPr>
              <w:rPr>
                <w:rFonts w:hint="eastAsia" w:ascii="楷体" w:hAnsi="楷体" w:eastAsia="楷体" w:cs="楷体"/>
                <w:szCs w:val="21"/>
              </w:rPr>
            </w:pPr>
            <w:r>
              <w:rPr>
                <w:rFonts w:hint="eastAsia" w:ascii="楷体" w:hAnsi="楷体" w:eastAsia="楷体" w:cs="楷体"/>
                <w:szCs w:val="21"/>
              </w:rPr>
              <w:t>3、加强财务管理，严格财务审核。加强单位财务管理，在费用报账支付时，严格按预算使用资金。</w:t>
            </w:r>
          </w:p>
          <w:p>
            <w:pPr>
              <w:rPr>
                <w:rFonts w:hint="eastAsia" w:ascii="楷体" w:hAnsi="楷体" w:eastAsia="楷体" w:cs="楷体"/>
                <w:szCs w:val="21"/>
                <w:lang w:val="en-US" w:eastAsia="zh-CN"/>
              </w:rPr>
            </w:pPr>
            <w:r>
              <w:rPr>
                <w:rFonts w:hint="eastAsia" w:ascii="楷体" w:hAnsi="楷体" w:eastAsia="楷体" w:cs="楷体"/>
                <w:szCs w:val="21"/>
                <w:lang w:val="en-US" w:eastAsia="zh-CN"/>
              </w:rPr>
              <w:t>4、加强固定资产管理，建议聘请第三方公司进行专业的全面盘查清点，便于后续更规范管理。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08" w:type="dxa"/>
          <w:trHeight w:val="1661" w:hRule="atLeast"/>
          <w:jc w:val="center"/>
        </w:trPr>
        <w:tc>
          <w:tcPr>
            <w:tcW w:w="705" w:type="dxa"/>
            <w:vAlign w:val="top"/>
          </w:tcPr>
          <w:p>
            <w:pPr>
              <w:spacing w:line="320" w:lineRule="exact"/>
              <w:jc w:val="center"/>
              <w:rPr>
                <w:rFonts w:ascii="楷体" w:hAnsi="楷体" w:eastAsia="楷体" w:cs="楷体"/>
                <w:szCs w:val="21"/>
              </w:rPr>
            </w:pPr>
            <w:r>
              <w:rPr>
                <w:rFonts w:hint="eastAsia" w:ascii="楷体" w:hAnsi="楷体" w:eastAsia="楷体" w:cs="楷体"/>
                <w:szCs w:val="21"/>
              </w:rPr>
              <w:t>主管部门意见</w:t>
            </w:r>
          </w:p>
        </w:tc>
        <w:tc>
          <w:tcPr>
            <w:tcW w:w="8629" w:type="dxa"/>
            <w:gridSpan w:val="11"/>
            <w:vAlign w:val="top"/>
          </w:tcPr>
          <w:p>
            <w:pPr>
              <w:ind w:firstLine="3360" w:firstLineChars="1600"/>
              <w:rPr>
                <w:rFonts w:ascii="楷体" w:hAnsi="楷体" w:eastAsia="楷体" w:cs="楷体"/>
                <w:szCs w:val="21"/>
              </w:rPr>
            </w:pPr>
          </w:p>
          <w:p>
            <w:pPr>
              <w:ind w:firstLine="3360" w:firstLineChars="1600"/>
              <w:rPr>
                <w:rFonts w:ascii="楷体" w:hAnsi="楷体" w:eastAsia="楷体" w:cs="楷体"/>
                <w:szCs w:val="21"/>
              </w:rPr>
            </w:pPr>
          </w:p>
          <w:p>
            <w:pPr>
              <w:ind w:firstLine="3360" w:firstLineChars="1600"/>
              <w:rPr>
                <w:rFonts w:ascii="楷体" w:hAnsi="楷体" w:eastAsia="楷体" w:cs="楷体"/>
                <w:szCs w:val="21"/>
              </w:rPr>
            </w:pPr>
          </w:p>
          <w:p>
            <w:pPr>
              <w:ind w:firstLine="3360" w:firstLineChars="1600"/>
              <w:rPr>
                <w:rFonts w:ascii="楷体" w:hAnsi="楷体" w:eastAsia="楷体" w:cs="楷体"/>
                <w:szCs w:val="21"/>
              </w:rPr>
            </w:pPr>
          </w:p>
          <w:p>
            <w:pPr>
              <w:ind w:firstLine="3360" w:firstLineChars="1600"/>
              <w:rPr>
                <w:rFonts w:ascii="楷体" w:hAnsi="楷体" w:eastAsia="楷体" w:cs="楷体"/>
                <w:szCs w:val="21"/>
              </w:rPr>
            </w:pPr>
            <w:r>
              <w:rPr>
                <w:rFonts w:hint="eastAsia" w:ascii="楷体" w:hAnsi="楷体" w:eastAsia="楷体" w:cs="楷体"/>
                <w:szCs w:val="21"/>
              </w:rPr>
              <w:t>主管部门（盖章）：</w:t>
            </w:r>
          </w:p>
        </w:tc>
      </w:tr>
    </w:tbl>
    <w:p>
      <w:pPr>
        <w:rPr>
          <w:rFonts w:ascii="宋体"/>
          <w:szCs w:val="21"/>
        </w:rPr>
      </w:pPr>
    </w:p>
    <w:p>
      <w:pPr>
        <w:ind w:firstLine="420" w:firstLineChars="200"/>
        <w:rPr>
          <w:szCs w:val="21"/>
        </w:rPr>
      </w:pPr>
      <w:r>
        <w:rPr>
          <w:rFonts w:hint="eastAsia" w:ascii="宋体" w:hAnsi="宋体"/>
          <w:szCs w:val="21"/>
        </w:rPr>
        <w:t>填报人：</w:t>
      </w:r>
      <w:r>
        <w:rPr>
          <w:rFonts w:ascii="宋体" w:hAnsi="宋体"/>
          <w:szCs w:val="21"/>
        </w:rPr>
        <w:t xml:space="preserve">    </w:t>
      </w:r>
      <w:r>
        <w:rPr>
          <w:rFonts w:hint="eastAsia" w:ascii="宋体" w:hAnsi="宋体"/>
          <w:szCs w:val="21"/>
          <w:lang w:eastAsia="zh-CN"/>
        </w:rPr>
        <w:t>罗婷婷</w:t>
      </w:r>
      <w:r>
        <w:rPr>
          <w:rFonts w:ascii="宋体" w:hAnsi="宋体"/>
          <w:szCs w:val="21"/>
        </w:rPr>
        <w:t xml:space="preserve">     </w:t>
      </w:r>
      <w:r>
        <w:rPr>
          <w:rFonts w:hint="eastAsia" w:ascii="宋体" w:hAnsi="宋体"/>
          <w:szCs w:val="21"/>
        </w:rPr>
        <w:t>联系电话：</w:t>
      </w:r>
      <w:r>
        <w:rPr>
          <w:rFonts w:ascii="宋体" w:hAnsi="宋体"/>
          <w:szCs w:val="21"/>
        </w:rPr>
        <w:t xml:space="preserve">     </w:t>
      </w:r>
      <w:r>
        <w:rPr>
          <w:rFonts w:hint="eastAsia" w:ascii="宋体" w:hAnsi="宋体"/>
          <w:szCs w:val="21"/>
          <w:lang w:val="en-US" w:eastAsia="zh-CN"/>
        </w:rPr>
        <w:t>18773941645</w:t>
      </w:r>
      <w:r>
        <w:rPr>
          <w:rFonts w:ascii="宋体" w:hAnsi="宋体"/>
          <w:szCs w:val="21"/>
        </w:rPr>
        <w:t xml:space="preserve">       </w:t>
      </w:r>
      <w:r>
        <w:rPr>
          <w:rFonts w:hint="eastAsia" w:ascii="宋体" w:hAnsi="宋体"/>
          <w:szCs w:val="21"/>
        </w:rPr>
        <w:t>时间：</w:t>
      </w:r>
      <w:r>
        <w:rPr>
          <w:rFonts w:ascii="宋体" w:hAnsi="宋体"/>
          <w:szCs w:val="21"/>
        </w:rPr>
        <w:t xml:space="preserve"> </w:t>
      </w:r>
      <w:r>
        <w:rPr>
          <w:rFonts w:hint="eastAsia" w:ascii="宋体" w:hAnsi="宋体"/>
          <w:szCs w:val="21"/>
          <w:lang w:val="en-US" w:eastAsia="zh-CN"/>
        </w:rPr>
        <w:t>2022</w:t>
      </w:r>
      <w:r>
        <w:rPr>
          <w:rFonts w:ascii="宋体" w:hAnsi="宋体"/>
          <w:szCs w:val="21"/>
        </w:rPr>
        <w:t xml:space="preserve"> </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w:t>
      </w:r>
    </w:p>
    <w:p>
      <w:pPr>
        <w:spacing w:line="560" w:lineRule="exact"/>
        <w:rPr>
          <w:rFonts w:eastAsia="黑体"/>
          <w:kern w:val="0"/>
        </w:rPr>
      </w:pPr>
      <w:r>
        <w:rPr>
          <w:rFonts w:hint="eastAsia" w:eastAsia="黑体"/>
          <w:kern w:val="0"/>
        </w:rPr>
        <w:t>注：自评结论填“优、良、中、差”。</w:t>
      </w:r>
    </w:p>
    <w:p>
      <w:pPr>
        <w:spacing w:line="560" w:lineRule="exact"/>
        <w:rPr>
          <w:rFonts w:hint="eastAsia" w:ascii="黑体" w:hAnsi="宋体" w:eastAsia="黑体" w:cs="宋体"/>
          <w:kern w:val="0"/>
          <w:sz w:val="32"/>
          <w:szCs w:val="32"/>
        </w:rPr>
      </w:pPr>
    </w:p>
    <w:p>
      <w:pPr>
        <w:pStyle w:val="2"/>
        <w:rPr>
          <w:rFonts w:hint="eastAsia" w:eastAsia="宋体"/>
          <w:lang w:eastAsia="zh-CN"/>
        </w:rPr>
      </w:pPr>
    </w:p>
    <w:p>
      <w:pPr>
        <w:pStyle w:val="2"/>
        <w:rPr>
          <w:rFonts w:hint="eastAsia" w:eastAsia="宋体"/>
          <w:lang w:eastAsia="zh-CN"/>
        </w:rPr>
      </w:pPr>
    </w:p>
    <w:p>
      <w:pPr>
        <w:spacing w:line="600" w:lineRule="exact"/>
        <w:jc w:val="center"/>
        <w:rPr>
          <w:rFonts w:hint="eastAsia" w:ascii="黑体" w:hAnsi="黑体" w:eastAsia="黑体" w:cs="黑体"/>
          <w:b/>
          <w:bCs w:val="0"/>
          <w:kern w:val="0"/>
          <w:sz w:val="36"/>
          <w:szCs w:val="36"/>
        </w:rPr>
      </w:pPr>
      <w:r>
        <w:rPr>
          <w:rFonts w:hint="eastAsia" w:ascii="黑体" w:hAnsi="黑体" w:eastAsia="黑体" w:cs="黑体"/>
          <w:b/>
          <w:bCs w:val="0"/>
          <w:kern w:val="0"/>
          <w:sz w:val="36"/>
          <w:szCs w:val="36"/>
        </w:rPr>
        <w:t>部门整体支出绩效自评报告</w:t>
      </w:r>
    </w:p>
    <w:p>
      <w:pPr>
        <w:ind w:firstLine="420" w:firstLineChars="200"/>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部门概况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eastAsia="仿宋_GB2312"/>
          <w:sz w:val="32"/>
          <w:szCs w:val="32"/>
        </w:rPr>
        <w:t>（一）部门基本情况</w:t>
      </w:r>
    </w:p>
    <w:p>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隆回县荷香桥镇人民政府设置6个内设机构，内设机构包括：党政综合办公室、基层党建办公室、经济发展办公室（挂农业农村工作办公室牌子和扶贫工作办公室两块牌子）、社会事务办公室（挂行政审批服务办公室牌子）、社会治安和应急管理办公室、自然资源和生态环境办公室；1个执法机构：行政综合执法大队；</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个直属事业单位：社会事务综合服务中心、农业综合服务中心（挂动物防疫站牌子）、政务服务中心、退役军人服务站和财政所。</w:t>
      </w:r>
    </w:p>
    <w:p>
      <w:pPr>
        <w:spacing w:line="60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sz w:val="32"/>
          <w:szCs w:val="32"/>
          <w:lang w:eastAsia="zh-CN"/>
        </w:rPr>
        <w:t>隆回县</w:t>
      </w:r>
      <w:r>
        <w:rPr>
          <w:rFonts w:hint="eastAsia" w:ascii="仿宋_GB2312" w:eastAsia="仿宋_GB2312"/>
          <w:sz w:val="32"/>
          <w:szCs w:val="32"/>
        </w:rPr>
        <w:t>荷香桥镇人民政府</w:t>
      </w:r>
      <w:r>
        <w:rPr>
          <w:rFonts w:hint="eastAsia" w:ascii="仿宋_GB2312" w:eastAsia="仿宋_GB2312" w:cs="Times New Roman"/>
          <w:sz w:val="32"/>
          <w:szCs w:val="32"/>
          <w:lang w:eastAsia="zh-CN"/>
        </w:rPr>
        <w:t>编制人数</w:t>
      </w:r>
      <w:r>
        <w:rPr>
          <w:rFonts w:hint="eastAsia" w:ascii="仿宋_GB2312" w:eastAsia="仿宋_GB2312" w:cs="Times New Roman"/>
          <w:sz w:val="32"/>
          <w:szCs w:val="32"/>
          <w:lang w:val="en-US" w:eastAsia="zh-CN"/>
        </w:rPr>
        <w:t>130</w:t>
      </w:r>
      <w:r>
        <w:rPr>
          <w:rFonts w:hint="eastAsia" w:ascii="仿宋_GB2312" w:eastAsia="仿宋_GB2312" w:cs="Times New Roman"/>
          <w:sz w:val="32"/>
          <w:szCs w:val="32"/>
          <w:lang w:eastAsia="zh-CN"/>
        </w:rPr>
        <w:t>人，实际人数</w:t>
      </w:r>
      <w:r>
        <w:rPr>
          <w:rFonts w:hint="eastAsia" w:ascii="仿宋_GB2312" w:eastAsia="仿宋_GB2312" w:cs="Times New Roman"/>
          <w:sz w:val="32"/>
          <w:szCs w:val="32"/>
          <w:lang w:val="en-US" w:eastAsia="zh-CN"/>
        </w:rPr>
        <w:t>229</w:t>
      </w:r>
      <w:r>
        <w:rPr>
          <w:rFonts w:hint="eastAsia" w:ascii="仿宋_GB2312" w:eastAsia="仿宋_GB2312" w:cs="Times New Roman"/>
          <w:sz w:val="32"/>
          <w:szCs w:val="32"/>
          <w:lang w:eastAsia="zh-CN"/>
        </w:rPr>
        <w:t xml:space="preserve">人（其中，在职 </w:t>
      </w:r>
      <w:r>
        <w:rPr>
          <w:rFonts w:hint="eastAsia" w:ascii="仿宋_GB2312" w:eastAsia="仿宋_GB2312" w:cs="Times New Roman"/>
          <w:sz w:val="32"/>
          <w:szCs w:val="32"/>
          <w:lang w:val="en-US" w:eastAsia="zh-CN"/>
        </w:rPr>
        <w:t>148</w:t>
      </w:r>
      <w:r>
        <w:rPr>
          <w:rFonts w:hint="eastAsia" w:ascii="仿宋_GB2312" w:eastAsia="仿宋_GB2312" w:cs="Times New Roman"/>
          <w:sz w:val="32"/>
          <w:szCs w:val="32"/>
          <w:lang w:eastAsia="zh-CN"/>
        </w:rPr>
        <w:t>人，经营服务性岗位</w:t>
      </w:r>
      <w:r>
        <w:rPr>
          <w:rFonts w:hint="eastAsia" w:ascii="仿宋_GB2312" w:eastAsia="仿宋_GB2312" w:cs="Times New Roman"/>
          <w:sz w:val="32"/>
          <w:szCs w:val="32"/>
          <w:lang w:val="en-US" w:eastAsia="zh-CN"/>
        </w:rPr>
        <w:t>6人，</w:t>
      </w:r>
      <w:r>
        <w:rPr>
          <w:rFonts w:hint="eastAsia" w:ascii="仿宋_GB2312" w:eastAsia="仿宋_GB2312" w:cs="Times New Roman"/>
          <w:sz w:val="32"/>
          <w:szCs w:val="32"/>
          <w:lang w:eastAsia="zh-CN"/>
        </w:rPr>
        <w:t>离退休</w:t>
      </w:r>
      <w:r>
        <w:rPr>
          <w:rFonts w:hint="eastAsia" w:ascii="仿宋_GB2312" w:eastAsia="仿宋_GB2312" w:cs="Times New Roman"/>
          <w:sz w:val="32"/>
          <w:szCs w:val="32"/>
          <w:lang w:val="en-US" w:eastAsia="zh-CN"/>
        </w:rPr>
        <w:t>59</w:t>
      </w:r>
      <w:r>
        <w:rPr>
          <w:rFonts w:hint="eastAsia" w:ascii="仿宋_GB2312" w:eastAsia="仿宋_GB2312" w:cs="Times New Roman"/>
          <w:sz w:val="32"/>
          <w:szCs w:val="32"/>
          <w:lang w:eastAsia="zh-CN"/>
        </w:rPr>
        <w:t>人），遗属补助人数</w:t>
      </w:r>
      <w:r>
        <w:rPr>
          <w:rFonts w:hint="eastAsia" w:ascii="仿宋_GB2312" w:eastAsia="仿宋_GB2312" w:cs="Times New Roman"/>
          <w:sz w:val="32"/>
          <w:szCs w:val="32"/>
          <w:lang w:val="en-US" w:eastAsia="zh-CN"/>
        </w:rPr>
        <w:t>16</w:t>
      </w:r>
      <w:r>
        <w:rPr>
          <w:rFonts w:hint="eastAsia" w:ascii="仿宋_GB2312" w:eastAsia="仿宋_GB2312" w:cs="Times New Roman"/>
          <w:sz w:val="32"/>
          <w:szCs w:val="32"/>
          <w:lang w:eastAsia="zh-CN"/>
        </w:rPr>
        <w:t>人，小车编制数</w:t>
      </w:r>
      <w:r>
        <w:rPr>
          <w:rFonts w:hint="eastAsia" w:ascii="仿宋_GB2312" w:eastAsia="仿宋_GB2312" w:cs="Times New Roman"/>
          <w:sz w:val="32"/>
          <w:szCs w:val="32"/>
          <w:lang w:val="en-US" w:eastAsia="zh-CN"/>
        </w:rPr>
        <w:t>1</w:t>
      </w:r>
      <w:r>
        <w:rPr>
          <w:rFonts w:hint="eastAsia" w:ascii="仿宋_GB2312" w:eastAsia="仿宋_GB2312" w:cs="Times New Roman"/>
          <w:sz w:val="32"/>
          <w:szCs w:val="32"/>
          <w:lang w:eastAsia="zh-CN"/>
        </w:rPr>
        <w:t>台，实际</w:t>
      </w:r>
      <w:r>
        <w:rPr>
          <w:rFonts w:hint="eastAsia" w:ascii="仿宋_GB2312" w:eastAsia="仿宋_GB2312" w:cs="Times New Roman"/>
          <w:sz w:val="32"/>
          <w:szCs w:val="32"/>
          <w:lang w:val="en-US" w:eastAsia="zh-CN"/>
        </w:rPr>
        <w:t>1</w:t>
      </w:r>
      <w:r>
        <w:rPr>
          <w:rFonts w:hint="eastAsia" w:ascii="仿宋_GB2312" w:eastAsia="仿宋_GB2312" w:cs="Times New Roman"/>
          <w:sz w:val="32"/>
          <w:szCs w:val="32"/>
          <w:lang w:eastAsia="zh-CN"/>
        </w:rPr>
        <w:t>台，房屋面积</w:t>
      </w:r>
      <w:r>
        <w:rPr>
          <w:rFonts w:hint="eastAsia" w:ascii="仿宋_GB2312" w:eastAsia="仿宋_GB2312" w:cs="Times New Roman"/>
          <w:sz w:val="32"/>
          <w:szCs w:val="32"/>
          <w:lang w:val="en-US" w:eastAsia="zh-CN"/>
        </w:rPr>
        <w:t>12900</w:t>
      </w:r>
      <w:r>
        <w:rPr>
          <w:rFonts w:hint="eastAsia" w:ascii="仿宋_GB2312" w:eastAsia="仿宋_GB2312" w:cs="Times New Roman"/>
          <w:sz w:val="32"/>
          <w:szCs w:val="32"/>
          <w:lang w:eastAsia="zh-CN"/>
        </w:rPr>
        <w:t>平方米。县配消防车1台，下辖村（居）委会</w:t>
      </w:r>
      <w:r>
        <w:rPr>
          <w:rFonts w:hint="eastAsia" w:ascii="仿宋_GB2312" w:eastAsia="仿宋_GB2312" w:cs="Times New Roman"/>
          <w:sz w:val="32"/>
          <w:szCs w:val="32"/>
          <w:lang w:val="en-US" w:eastAsia="zh-CN"/>
        </w:rPr>
        <w:t>27</w:t>
      </w:r>
      <w:r>
        <w:rPr>
          <w:rFonts w:hint="eastAsia" w:ascii="仿宋_GB2312" w:eastAsia="仿宋_GB2312" w:cs="Times New Roman"/>
          <w:sz w:val="32"/>
          <w:szCs w:val="32"/>
          <w:lang w:eastAsia="zh-CN"/>
        </w:rPr>
        <w:t>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（二）</w:t>
      </w:r>
      <w:r>
        <w:rPr>
          <w:rFonts w:hint="eastAsia" w:eastAsia="仿宋_GB2312"/>
          <w:sz w:val="32"/>
          <w:szCs w:val="32"/>
          <w:lang w:eastAsia="zh-CN"/>
        </w:rPr>
        <w:t>2021</w:t>
      </w:r>
      <w:r>
        <w:rPr>
          <w:rFonts w:hint="eastAsia" w:eastAsia="仿宋_GB2312"/>
          <w:sz w:val="32"/>
          <w:szCs w:val="32"/>
        </w:rPr>
        <w:t>年的重点工作</w:t>
      </w:r>
    </w:p>
    <w:p>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1、聚焦三农工作，农林牧渔稳步增长，粮食产量稳中有升，畜牧水产林业稳量提质，农业产业化进程加快，持续不懈抓好河长制工作，水利基础建设全面推进。</w:t>
      </w:r>
    </w:p>
    <w:p>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聚力乡村振兴，七大行动成效明显，坚持底线思维，动态开展防返贫监测聚焦目标任务，因地制宜推进项目建设，深入推进“五个到户”主题活动，扎实推进危房改造、空心房整治等工作，各项帮扶政策落实到位，“三清一改”村庄清洁战役成效明显。</w:t>
      </w:r>
    </w:p>
    <w:p>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立足污染防治，持续改善生态环境坚决打赢蓝天保卫战。打好禁渔禁捕持续仗。加大违法用地整改力度。</w:t>
      </w:r>
    </w:p>
    <w:p>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抓实风险防范，合力维护社会稳定加强社会稳定风险防范，加强安全生产风险防范，加强疫情防控风险防范。</w:t>
      </w:r>
      <w:r>
        <w:rPr>
          <w:rFonts w:hint="eastAsia" w:ascii="仿宋_GB2312" w:hAnsi="仿宋_GB2312" w:eastAsia="仿宋_GB2312" w:cs="仿宋_GB2312"/>
          <w:sz w:val="32"/>
          <w:szCs w:val="32"/>
        </w:rPr>
        <w:t>开展疫苗接种攻坚清零行动，第一针接种37215人，加强针接种4538人，综合接种率85.32%，位居全县第一。</w:t>
      </w:r>
    </w:p>
    <w:p>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eastAsia="zh-CN"/>
        </w:rPr>
        <w:t>围绕社会事业，致力增进民生福祉，全力兜住民生保障底线，推进文化事业蓬勃发展。</w:t>
      </w:r>
    </w:p>
    <w:p>
      <w:pPr>
        <w:spacing w:line="600" w:lineRule="exact"/>
        <w:ind w:firstLine="640" w:firstLineChars="200"/>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lang w:eastAsia="zh-CN"/>
        </w:rPr>
        <w:t>夯实党建引领，加强干部队伍建设，</w:t>
      </w:r>
      <w:r>
        <w:rPr>
          <w:rFonts w:hint="eastAsia" w:ascii="仿宋_GB2312" w:hAnsi="Times New Roman" w:eastAsia="仿宋_GB2312" w:cs="Times New Roman"/>
          <w:sz w:val="32"/>
          <w:szCs w:val="32"/>
          <w:lang w:val="en-US" w:eastAsia="zh-CN"/>
        </w:rPr>
        <w:t>稳步完成村（社区）换届选举工作。</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部门整体支出情况</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2021年度决算支出为3233.85万元,其中：一般公共服务支出688.42万元，社会保障和就业支出9.8万元，卫生健康支出11.79万元，城乡社区支出30.24万元，农林水支出2483.60万元，其他支出10万元。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二、部门整体支出管理及使用情况</w:t>
      </w:r>
    </w:p>
    <w:p>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（一）基本支出情况</w:t>
      </w:r>
    </w:p>
    <w:p>
      <w:pPr>
        <w:spacing w:line="600" w:lineRule="exact"/>
        <w:ind w:firstLine="640" w:firstLineChars="200"/>
        <w:rPr>
          <w:rFonts w:eastAsia="仿宋_GB2312"/>
          <w:sz w:val="32"/>
          <w:szCs w:val="32"/>
        </w:rPr>
      </w:pPr>
      <w:r>
        <w:rPr>
          <w:rFonts w:hint="eastAsia" w:ascii="仿宋_GB2312" w:hAnsi="Times New Roman" w:eastAsia="仿宋_GB2312" w:cs="Times New Roman"/>
          <w:sz w:val="32"/>
          <w:szCs w:val="32"/>
          <w:lang w:val="en-US" w:eastAsia="zh-CN"/>
        </w:rPr>
        <w:t>2021年度决算数为2434.69万元，其中：人员经费2235.66万元，日常公用经费199.03万元。是指为保障单位机构和村级组织正常运转、完成日常工作任务而发生的各项支出，包括用于基本工资、津贴补贴、村干部工资等人员经费和办公费、印刷费、水电费及办公设备购置等日常公用经费以及村级运转经费。</w:t>
      </w:r>
    </w:p>
    <w:p>
      <w:pPr>
        <w:numPr>
          <w:ilvl w:val="0"/>
          <w:numId w:val="3"/>
        </w:num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项目支出情况</w:t>
      </w:r>
    </w:p>
    <w:p>
      <w:pPr>
        <w:numPr>
          <w:ilvl w:val="0"/>
          <w:numId w:val="0"/>
        </w:num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2021年年度决算数为799.16万元，是指单位为完成选定行政工作或事业发展目标而发生的支出，包括有关事业发展专项、专项业务费、基本建设支出等。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（三）</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 xml:space="preserve"> 1</w:t>
      </w:r>
      <w:r>
        <w:rPr>
          <w:rFonts w:hint="eastAsia" w:eastAsia="仿宋_GB2312"/>
          <w:sz w:val="32"/>
          <w:szCs w:val="32"/>
        </w:rPr>
        <w:t>．因公出国（境）费用</w:t>
      </w:r>
      <w:r>
        <w:rPr>
          <w:rFonts w:hint="eastAsia" w:eastAsia="仿宋_GB2312"/>
          <w:sz w:val="32"/>
          <w:szCs w:val="32"/>
          <w:lang w:val="en-US" w:eastAsia="zh-CN"/>
        </w:rPr>
        <w:t>0万元</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 xml:space="preserve"> 2</w:t>
      </w:r>
      <w:r>
        <w:rPr>
          <w:rFonts w:hint="eastAsia" w:eastAsia="仿宋_GB2312"/>
          <w:sz w:val="32"/>
          <w:szCs w:val="32"/>
        </w:rPr>
        <w:t>．公务接待费</w:t>
      </w:r>
      <w:r>
        <w:rPr>
          <w:rFonts w:hint="eastAsia" w:eastAsia="仿宋_GB2312"/>
          <w:sz w:val="32"/>
          <w:szCs w:val="32"/>
          <w:lang w:val="en-US" w:eastAsia="zh-CN"/>
        </w:rPr>
        <w:t>7.59万元</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eastAsia="zh-CN"/>
        </w:rPr>
      </w:pPr>
      <w:r>
        <w:rPr>
          <w:rFonts w:eastAsia="仿宋_GB2312"/>
          <w:sz w:val="32"/>
          <w:szCs w:val="32"/>
        </w:rPr>
        <w:t xml:space="preserve"> 3</w:t>
      </w:r>
      <w:r>
        <w:rPr>
          <w:rFonts w:hint="eastAsia" w:eastAsia="仿宋_GB2312"/>
          <w:sz w:val="32"/>
          <w:szCs w:val="32"/>
        </w:rPr>
        <w:t>．公务用车购置及运行费</w:t>
      </w:r>
      <w:r>
        <w:rPr>
          <w:rFonts w:hint="eastAsia" w:eastAsia="仿宋_GB2312"/>
          <w:sz w:val="32"/>
          <w:szCs w:val="32"/>
          <w:lang w:val="en-US" w:eastAsia="zh-CN"/>
        </w:rPr>
        <w:t>4.62万元</w:t>
      </w:r>
      <w:r>
        <w:rPr>
          <w:rFonts w:hint="eastAsia" w:eastAsia="仿宋_GB2312"/>
          <w:sz w:val="32"/>
          <w:szCs w:val="32"/>
        </w:rPr>
        <w:t>。</w:t>
      </w:r>
      <w:r>
        <w:rPr>
          <w:rFonts w:hint="eastAsia" w:eastAsia="仿宋_GB2312"/>
          <w:sz w:val="32"/>
          <w:szCs w:val="32"/>
          <w:lang w:eastAsia="zh-CN"/>
        </w:rPr>
        <w:t>（全部为公务用车运行维护费）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sz w:val="32"/>
          <w:szCs w:val="32"/>
        </w:rPr>
      </w:pPr>
      <w:r>
        <w:rPr>
          <w:rFonts w:hint="eastAsia" w:ascii="黑体" w:hAnsi="黑体" w:eastAsia="黑体"/>
          <w:b/>
          <w:bCs/>
          <w:sz w:val="32"/>
          <w:szCs w:val="32"/>
        </w:rPr>
        <w:t>三、部门整体支出绩效情况</w:t>
      </w:r>
    </w:p>
    <w:p>
      <w:pPr>
        <w:spacing w:line="560" w:lineRule="exact"/>
        <w:ind w:firstLine="640" w:firstLineChars="200"/>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20</w:t>
      </w:r>
      <w:r>
        <w:rPr>
          <w:rFonts w:hint="eastAsia" w:ascii="仿宋" w:hAnsi="仿宋" w:eastAsia="仿宋" w:cs="Times New Roman"/>
          <w:color w:val="333333"/>
          <w:sz w:val="32"/>
          <w:szCs w:val="32"/>
          <w:lang w:val="en-US" w:eastAsia="zh-CN"/>
        </w:rPr>
        <w:t>21</w:t>
      </w:r>
      <w:r>
        <w:rPr>
          <w:rFonts w:hint="eastAsia" w:ascii="仿宋" w:hAnsi="仿宋" w:eastAsia="仿宋" w:cs="Times New Roman"/>
          <w:color w:val="333333"/>
          <w:sz w:val="32"/>
          <w:szCs w:val="32"/>
        </w:rPr>
        <w:t>年，我镇积极履职，强化管理，较好的完成了年度工作目标。通过加强预算收支管理，不断建立健全内部管理制度，梳理内部管理流程，整体支出管理水平得到提升；各项绩效指标均达到了预期效果。</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（一）聚焦三农工作，农林牧渔稳步增长</w:t>
      </w:r>
    </w:p>
    <w:p>
      <w:pPr>
        <w:spacing w:line="56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bCs/>
          <w:sz w:val="32"/>
          <w:szCs w:val="32"/>
        </w:rPr>
        <w:t>粮食产量稳中有升。</w:t>
      </w:r>
      <w:r>
        <w:rPr>
          <w:rFonts w:hint="eastAsia" w:ascii="仿宋_GB2312" w:hAnsi="仿宋_GB2312" w:eastAsia="仿宋_GB2312" w:cs="仿宋_GB2312"/>
          <w:sz w:val="32"/>
          <w:szCs w:val="32"/>
        </w:rPr>
        <w:t>发展2个双季稻千亩示范片，建成大型现代化密室育秧工厂，落实优质稻千亩示范片2892亩，培育水稻种植大户28户。镇农综中心成功评为全国五星级农技推广机构。种植烤烟面积2860亩，收购烤烟4342担。烤烟生产面积产量继续稳居全县前列。</w:t>
      </w:r>
      <w:r>
        <w:rPr>
          <w:rFonts w:hint="eastAsia" w:ascii="仿宋" w:hAnsi="仿宋" w:eastAsia="仿宋" w:cs="仿宋"/>
          <w:b/>
          <w:bCs/>
          <w:sz w:val="32"/>
          <w:szCs w:val="32"/>
        </w:rPr>
        <w:t>畜牧水产林业稳量提质。</w:t>
      </w:r>
      <w:r>
        <w:rPr>
          <w:rFonts w:hint="eastAsia" w:ascii="仿宋_GB2312" w:hAnsi="仿宋_GB2312" w:eastAsia="仿宋_GB2312" w:cs="仿宋_GB2312"/>
          <w:sz w:val="32"/>
          <w:szCs w:val="32"/>
          <w:lang w:eastAsia="zh-CN"/>
        </w:rPr>
        <w:t>我镇为</w:t>
      </w:r>
      <w:r>
        <w:rPr>
          <w:rFonts w:hint="eastAsia" w:ascii="仿宋_GB2312" w:hAnsi="Times New Roman" w:eastAsia="仿宋_GB2312" w:cs="Times New Roman"/>
          <w:sz w:val="32"/>
          <w:szCs w:val="32"/>
          <w:lang w:val="en-US" w:eastAsia="zh-CN"/>
        </w:rPr>
        <w:t>生猪稳产保供工作先进单位</w:t>
      </w:r>
      <w:r>
        <w:rPr>
          <w:rFonts w:hint="eastAsia" w:ascii="仿宋_GB2312" w:hAnsi="仿宋_GB2312" w:eastAsia="仿宋_GB2312" w:cs="仿宋_GB2312"/>
          <w:sz w:val="32"/>
          <w:szCs w:val="32"/>
        </w:rPr>
        <w:t>。扎实做好防疫工作，全年无重大动物疫情。全面推行林长制，着力打造九牛坳村春晖公园和荷花基地绿化，</w:t>
      </w:r>
      <w:r>
        <w:rPr>
          <w:rFonts w:hint="eastAsia" w:ascii="仿宋_GB2312" w:hAnsi="Times New Roman" w:eastAsia="仿宋_GB2312" w:cs="Times New Roman"/>
          <w:sz w:val="32"/>
          <w:szCs w:val="32"/>
          <w:lang w:val="en-US" w:eastAsia="zh-CN"/>
        </w:rPr>
        <w:t>创建湖南省森林城市先进单位、</w:t>
      </w:r>
      <w:r>
        <w:rPr>
          <w:rFonts w:hint="eastAsia" w:ascii="仿宋_GB2312" w:hAnsi="仿宋_GB2312" w:eastAsia="仿宋_GB2312" w:cs="仿宋_GB2312"/>
          <w:sz w:val="32"/>
          <w:szCs w:val="32"/>
        </w:rPr>
        <w:t>完成村部绿化2个，封山育林1000亩，补植补造500亩，义务植树17万株。积极开展森林防火宣传，发放宣传册两万余册，开展巡山活动三万余人次。查处非法占地和破坏林地案15起,无证运输和无采伐许可证木材案7起。</w:t>
      </w:r>
      <w:r>
        <w:rPr>
          <w:rFonts w:hint="eastAsia" w:ascii="仿宋" w:hAnsi="仿宋" w:eastAsia="仿宋" w:cs="仿宋"/>
          <w:b/>
          <w:bCs/>
          <w:sz w:val="32"/>
          <w:szCs w:val="32"/>
        </w:rPr>
        <w:t>农业产业化进程加快。</w:t>
      </w:r>
      <w:r>
        <w:rPr>
          <w:rFonts w:hint="eastAsia" w:ascii="仿宋_GB2312" w:hAnsi="仿宋_GB2312" w:eastAsia="仿宋_GB2312" w:cs="仿宋_GB2312"/>
          <w:sz w:val="32"/>
          <w:szCs w:val="32"/>
        </w:rPr>
        <w:t>积极培养新型农民专业合作社和家庭农场，着力培育和打造现代农业，佰利康、辰河生态农业、长溪无花果等一批现代规模农业发展迅速。</w:t>
      </w:r>
      <w:r>
        <w:rPr>
          <w:rFonts w:hint="eastAsia" w:ascii="仿宋" w:hAnsi="仿宋" w:eastAsia="仿宋" w:cs="仿宋"/>
          <w:b/>
          <w:bCs/>
          <w:sz w:val="32"/>
          <w:szCs w:val="32"/>
        </w:rPr>
        <w:t>持续不懈抓好河长制工作。</w:t>
      </w:r>
      <w:r>
        <w:rPr>
          <w:rFonts w:hint="eastAsia" w:ascii="仿宋_GB2312" w:hAnsi="仿宋_GB2312" w:eastAsia="仿宋_GB2312" w:cs="仿宋_GB2312"/>
          <w:sz w:val="32"/>
          <w:szCs w:val="32"/>
        </w:rPr>
        <w:t>镇级河长巡河率保持在95%以上，村级河长巡河率从去年的平均30%提升到90%以上，一年以来我镇没有再出现一起“四乱”问题。</w:t>
      </w:r>
      <w:r>
        <w:rPr>
          <w:rFonts w:hint="eastAsia" w:ascii="仿宋" w:hAnsi="仿宋" w:eastAsia="仿宋" w:cs="仿宋"/>
          <w:b/>
          <w:bCs/>
          <w:sz w:val="32"/>
          <w:szCs w:val="32"/>
        </w:rPr>
        <w:t>水利基础建设全面推进。</w:t>
      </w:r>
      <w:r>
        <w:rPr>
          <w:rFonts w:hint="eastAsia" w:ascii="仿宋_GB2312" w:hAnsi="仿宋_GB2312" w:eastAsia="仿宋_GB2312" w:cs="仿宋_GB2312"/>
          <w:sz w:val="32"/>
          <w:szCs w:val="32"/>
        </w:rPr>
        <w:t>全镇高标准农田项目全面完工验收硬化，清淤山塘25口，新建、硬化水渠10千米，破巷水库引水圳加固改造纳入农业局实施项目。建设黄杨山集中供水工程净化消毒设施和天马山村横荷水厂管网延伸工程。</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（二）聚力乡村振兴，七大行动成效明显</w:t>
      </w:r>
    </w:p>
    <w:p>
      <w:pPr>
        <w:pBdr>
          <w:bottom w:val="single" w:color="FFFFFF" w:sz="4" w:space="31"/>
        </w:pBdr>
        <w:tabs>
          <w:tab w:val="left" w:pos="1440"/>
        </w:tabs>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派驻乡村振兴工作队27支79人，其中省派工作队3人，县派工作队16人。</w:t>
      </w:r>
      <w:r>
        <w:rPr>
          <w:rFonts w:hint="eastAsia" w:ascii="仿宋" w:hAnsi="仿宋" w:eastAsia="仿宋" w:cs="仿宋"/>
          <w:b/>
          <w:bCs/>
          <w:sz w:val="32"/>
          <w:szCs w:val="32"/>
        </w:rPr>
        <w:t>坚持底线思维，动态开展防返贫监测。</w:t>
      </w:r>
      <w:r>
        <w:rPr>
          <w:rFonts w:hint="eastAsia" w:ascii="仿宋_GB2312" w:hAnsi="仿宋_GB2312" w:eastAsia="仿宋_GB2312" w:cs="仿宋_GB2312"/>
          <w:sz w:val="32"/>
          <w:szCs w:val="32"/>
        </w:rPr>
        <w:t>排查农户17833户59063人，按程序申报纳入监测对象214户580人。处理风险消除2282条，政策未落实消除1701条，定期开展分析研判，确保不出现规模性返贫致贫。</w:t>
      </w:r>
      <w:r>
        <w:rPr>
          <w:rFonts w:hint="eastAsia" w:ascii="仿宋" w:hAnsi="仿宋" w:eastAsia="仿宋" w:cs="仿宋"/>
          <w:b/>
          <w:bCs/>
          <w:sz w:val="32"/>
          <w:szCs w:val="32"/>
        </w:rPr>
        <w:t>聚焦目标任务，因地制宜推进项目建设。</w:t>
      </w:r>
      <w:r>
        <w:rPr>
          <w:rFonts w:hint="eastAsia" w:ascii="仿宋_GB2312" w:hAnsi="仿宋_GB2312" w:eastAsia="仿宋_GB2312" w:cs="仿宋_GB2312"/>
          <w:sz w:val="32"/>
          <w:szCs w:val="32"/>
        </w:rPr>
        <w:t>2021年度，我镇乡村振兴项目85个，整合资金2413万元，其中我镇自主组织实施项目31个，包括整合资金和衔接资金共499.07万元，目前已全部完工验收，资金拨付428.28万元，拨付进度达85.82%。</w:t>
      </w:r>
      <w:r>
        <w:rPr>
          <w:rFonts w:hint="eastAsia" w:ascii="仿宋" w:hAnsi="仿宋" w:eastAsia="仿宋" w:cs="仿宋"/>
          <w:b/>
          <w:bCs/>
          <w:sz w:val="32"/>
          <w:szCs w:val="32"/>
        </w:rPr>
        <w:t>深入推进“五个到户”主题活动。</w:t>
      </w:r>
      <w:r>
        <w:rPr>
          <w:rFonts w:hint="eastAsia" w:ascii="仿宋_GB2312" w:hAnsi="仿宋_GB2312" w:eastAsia="仿宋_GB2312" w:cs="仿宋_GB2312"/>
          <w:sz w:val="32"/>
          <w:szCs w:val="32"/>
        </w:rPr>
        <w:t>全镇214户监测户由县级领导、镇班子成员和驻村工作队等139位为结对帮扶责任人，脱贫户3040户，安排321位结对联系责任人，进村入户走访。</w:t>
      </w:r>
      <w:r>
        <w:rPr>
          <w:rFonts w:hint="eastAsia" w:ascii="仿宋" w:hAnsi="仿宋" w:eastAsia="仿宋" w:cs="仿宋"/>
          <w:b/>
          <w:bCs/>
          <w:sz w:val="32"/>
          <w:szCs w:val="32"/>
        </w:rPr>
        <w:t>扎实推进危房改造、空心房整治等工作。</w:t>
      </w:r>
      <w:r>
        <w:rPr>
          <w:rFonts w:hint="eastAsia" w:ascii="仿宋_GB2312" w:hAnsi="仿宋_GB2312" w:eastAsia="仿宋_GB2312" w:cs="仿宋_GB2312"/>
          <w:sz w:val="32"/>
          <w:szCs w:val="32"/>
        </w:rPr>
        <w:t>全镇7户危房改造户完成验收并拨付资金。同时对全镇房屋进行全覆盖筛查，建立鉴定台账，确保“人不住危房、危房不住人”。</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2021年空心房拆除和拆旧复垦工作</w:t>
      </w:r>
      <w:r>
        <w:rPr>
          <w:rFonts w:hint="eastAsia" w:ascii="仿宋_GB2312" w:hAnsi="仿宋_GB2312" w:eastAsia="仿宋_GB2312" w:cs="仿宋_GB2312"/>
          <w:sz w:val="32"/>
          <w:szCs w:val="32"/>
          <w:lang w:eastAsia="zh-CN"/>
        </w:rPr>
        <w:t>。</w:t>
      </w:r>
      <w:r>
        <w:rPr>
          <w:rFonts w:hint="eastAsia" w:ascii="仿宋" w:hAnsi="仿宋" w:eastAsia="仿宋" w:cs="仿宋"/>
          <w:b/>
          <w:bCs/>
          <w:sz w:val="32"/>
          <w:szCs w:val="32"/>
        </w:rPr>
        <w:t>各项帮扶政策落实到位。</w:t>
      </w:r>
      <w:r>
        <w:rPr>
          <w:rFonts w:hint="eastAsia" w:ascii="仿宋_GB2312" w:hAnsi="仿宋_GB2312" w:eastAsia="仿宋_GB2312" w:cs="仿宋_GB2312"/>
          <w:sz w:val="32"/>
          <w:szCs w:val="32"/>
        </w:rPr>
        <w:t>分散安置15户57人易地扶贫搬迁资金全部到位。</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享受雨露计划春季补助212人，秋季补助321，发放补助79.95万元。义务教育阶段秋季享受教育补助1375人，发放补助43.9万元。发放扶贫小额信贷116人580万元，助力104户贫困户脱贫致富。全镇现有帮扶车间9个，解决劳动力就业367人，其中脱贫劳动力102名，发放稳岗补贴6.6万元。</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9月，镇党委书记黄世杰主动对接，引进帮扶车间丰源鞋业，车间面积800多平方，员工40余人，其中脱贫劳动力16人，有效提升我镇脱贫劳动力就业。</w:t>
      </w:r>
      <w:r>
        <w:rPr>
          <w:rFonts w:hint="eastAsia" w:ascii="仿宋" w:hAnsi="仿宋" w:eastAsia="仿宋" w:cs="仿宋"/>
          <w:b/>
          <w:bCs/>
          <w:sz w:val="32"/>
          <w:szCs w:val="32"/>
        </w:rPr>
        <w:t>“三清一改”村庄清洁战役成效明显。</w:t>
      </w:r>
      <w:r>
        <w:rPr>
          <w:rFonts w:hint="eastAsia" w:ascii="仿宋_GB2312" w:hAnsi="仿宋_GB2312" w:eastAsia="仿宋_GB2312" w:cs="仿宋_GB2312"/>
          <w:sz w:val="32"/>
          <w:szCs w:val="32"/>
        </w:rPr>
        <w:t>分步推进“三清三化”行动，清除道路交通顽瘴痼疾0.3万余平方米，处置交通顽瘴痼疾和清运省道两边垃圾350余处，纠正店外占道经营4300余起、流动摊贩7000余起，建筑垃圾40余吨，清理破损广告牌30余个，割除横幅300余条，清理乱堆乱放600余处，清除杂草1千多处，清理牛皮癣600余处，臭水沟30余处。开展城区综合整治，新投放分类垃圾桶、环卫垃圾桶等400余个，设垃圾收集点132处，并拟新建1个垃圾中转站，镇村面貌焕然一新。全年共改造农村旱厕271座，验收合格210座并投入使用，完成任务101.94％。</w:t>
      </w:r>
    </w:p>
    <w:p>
      <w:pPr>
        <w:pBdr>
          <w:bottom w:val="single" w:color="FFFFFF" w:sz="4" w:space="31"/>
        </w:pBdr>
        <w:tabs>
          <w:tab w:val="left" w:pos="1440"/>
        </w:tabs>
        <w:topLinePunct/>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（三）立足污染防治，持续改善生态环境</w:t>
      </w:r>
    </w:p>
    <w:p>
      <w:pPr>
        <w:pBdr>
          <w:bottom w:val="single" w:color="FFFFFF" w:sz="4" w:space="31"/>
        </w:pBdr>
        <w:tabs>
          <w:tab w:val="left" w:pos="1440"/>
        </w:tabs>
        <w:topLinePunct/>
        <w:spacing w:line="56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bCs/>
          <w:sz w:val="32"/>
          <w:szCs w:val="32"/>
        </w:rPr>
        <w:t>坚决打赢蓝天保卫战。</w:t>
      </w:r>
      <w:r>
        <w:rPr>
          <w:rFonts w:hint="eastAsia" w:ascii="仿宋_GB2312" w:hAnsi="仿宋_GB2312" w:eastAsia="仿宋_GB2312" w:cs="仿宋_GB2312"/>
          <w:sz w:val="32"/>
          <w:szCs w:val="32"/>
        </w:rPr>
        <w:t>对辖区内餐厨油烟净化设施、风险隐患排查、建筑工地“六个百分百”、养殖环境污染等进行了全面摸排。坚持日巡查、周通报、月调度制度，对未达标的建筑工地、碎石场、砂场一律实行处罚或停产，全年共出车巡查160余次，制止焚烧垃圾秸秆60余次，制止不按要求摆放覆盖影响环境行为20余起，第二、三季度蓝天保卫战工作均为全县第二名。充分利用各种形式开展宣传活动，发放禁烧秸秆等宣传资料5000余份，现场宣传4次，日常巡查400余次。</w:t>
      </w:r>
      <w:r>
        <w:rPr>
          <w:rFonts w:hint="eastAsia" w:ascii="仿宋" w:hAnsi="仿宋" w:eastAsia="仿宋" w:cs="仿宋"/>
          <w:b/>
          <w:bCs/>
          <w:sz w:val="32"/>
          <w:szCs w:val="32"/>
        </w:rPr>
        <w:t>打好禁渔禁捕持续仗。</w:t>
      </w:r>
      <w:r>
        <w:rPr>
          <w:rFonts w:hint="eastAsia" w:ascii="仿宋_GB2312" w:hAnsi="仿宋_GB2312" w:eastAsia="仿宋_GB2312" w:cs="仿宋_GB2312"/>
          <w:sz w:val="32"/>
          <w:szCs w:val="32"/>
        </w:rPr>
        <w:t>联合市监所、派出所发放护渔宣传单2000余份，建立执法大队常态化巡查机制，查处非法捕渔案件14起，收缴鱼网60余张，电渔工具36具，拆除养殖网箱19个，查处非法电鱼案6起，取缔塘家山网箱养鱼一起，制作各种法制宣传横幅10副，发放各类宣传资料1.1万余份，村张贴各类宣传标语2000余份，拆毁非法渔船38艘。</w:t>
      </w:r>
      <w:r>
        <w:rPr>
          <w:rFonts w:hint="eastAsia" w:ascii="仿宋" w:hAnsi="仿宋" w:eastAsia="仿宋" w:cs="仿宋"/>
          <w:b/>
          <w:bCs/>
          <w:sz w:val="32"/>
          <w:szCs w:val="32"/>
        </w:rPr>
        <w:t>加大违法用地整改力度。</w:t>
      </w:r>
      <w:r>
        <w:rPr>
          <w:rFonts w:hint="eastAsia" w:ascii="仿宋_GB2312" w:hAnsi="仿宋_GB2312" w:eastAsia="仿宋_GB2312" w:cs="仿宋_GB2312"/>
          <w:sz w:val="32"/>
          <w:szCs w:val="32"/>
        </w:rPr>
        <w:t>严格控制新增违建，建立每日巡查制度，发现一起，处理一起。严格消除已有存量，完成上级部门交办卫片执法遗留问题115宗。</w:t>
      </w:r>
    </w:p>
    <w:p>
      <w:pPr>
        <w:pBdr>
          <w:bottom w:val="single" w:color="FFFFFF" w:sz="4" w:space="31"/>
        </w:pBdr>
        <w:tabs>
          <w:tab w:val="left" w:pos="1440"/>
        </w:tabs>
        <w:topLinePunct/>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（四）抓实风险防范，合力维护社会稳定</w:t>
      </w:r>
    </w:p>
    <w:p>
      <w:pPr>
        <w:pBdr>
          <w:bottom w:val="single" w:color="FFFFFF" w:sz="4" w:space="31"/>
        </w:pBdr>
        <w:tabs>
          <w:tab w:val="left" w:pos="1440"/>
        </w:tabs>
        <w:topLinePunct/>
        <w:spacing w:line="56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bCs/>
          <w:sz w:val="32"/>
          <w:szCs w:val="32"/>
        </w:rPr>
        <w:t>加强社会稳定风险防范。</w:t>
      </w:r>
      <w:r>
        <w:rPr>
          <w:rFonts w:hint="eastAsia" w:ascii="仿宋_GB2312" w:hAnsi="仿宋_GB2312" w:eastAsia="仿宋_GB2312" w:cs="仿宋_GB2312"/>
          <w:sz w:val="32"/>
          <w:szCs w:val="32"/>
        </w:rPr>
        <w:t>压实信访工作责任，坚持小矛盾不出村，大矛盾不出镇，全年无一起群体性上访事件。成功化解重复信访积案，赴省进京上访量较2020年同比下降50%，非访越级访得到有效遏制。加强基层治安管理能力，“宝庆大叔”巡逻队全年开展巡逻500余次。启动城市末端感知建设，率先整合监控资源，重点民生实事“雪亮工程”在每个村铺开，72个公共探头全部安装到位，镇村平台可实时查看。加强210人（死亡2人）在册吸毒人员一人一档管理。开展平安建设、禁毒、反电诈等宣传活动30余次，发放资料3万余份，张贴宣传标语6000余张。全面开展“严打”，破获涉毒刑事案件3起，刑拘5人；查处吸毒人员25人，完成强制隔离戒毒任务20人（完成率154％，全县排名第一），社区戒毒6人。缅北窝点人员13人已全部劝返，核减率100%。严厉打击 “两卡”刑事犯罪。刑事拘留“两卡”人员28名，行政拘留“两卡”人员2名，为群众挽回经济损失12万余元。利用村村响、微信群和自制小视频等多种形式循环推广“国家反诈中心”APP下载，督促群众完善个人信息，利用科技手段自动预警诈骗活动。</w:t>
      </w:r>
      <w:r>
        <w:rPr>
          <w:rFonts w:hint="eastAsia" w:ascii="仿宋" w:hAnsi="仿宋" w:eastAsia="仿宋" w:cs="仿宋"/>
          <w:b/>
          <w:bCs/>
          <w:sz w:val="32"/>
          <w:szCs w:val="32"/>
        </w:rPr>
        <w:t>加强安全生产风险防范。</w:t>
      </w:r>
      <w:r>
        <w:rPr>
          <w:rFonts w:hint="eastAsia" w:ascii="仿宋_GB2312" w:hAnsi="仿宋_GB2312" w:eastAsia="仿宋_GB2312" w:cs="仿宋_GB2312"/>
          <w:sz w:val="32"/>
          <w:szCs w:val="32"/>
        </w:rPr>
        <w:t>开展联合专项整治行动，排查328家公司企业、小加工作坊、经营门店和经营单位，整改安全隐患497处，查处非法违法生产经营27起，一般立案程序4起，处罚32000元，全年未发生一起重大安全生产事故。开展交通顽瘴痼疾集中整治，查处无证驾驶摩托车76起，摩托车未投保96起，摩托车未年检85起，摩托车未戴头盔268起，未落户26起，报废摩托车16辆，拆除遮阳伞600余把。多次利用赶集日开展应急安全知识、防溺水、“拆伞戴帽”和防灾减灾集中教育宣传，发放宣传资料8000余份，张贴宣传标语1000余份，制作永久性安全宣传牌100余块，微信推送和发布安全信息500余条。全面摸排辖区内山塘、水库、河流等水域483处，严格落实重点水域巡查制度，全年未发生学生溺水事件。投入十万余元用于应急能力硬件设施建设，建立27个村（社区）村级应急站，并分区域组织4次专业应急演练培训。大力开展“多合一”场所消防安全专项整治，检查市场、旅馆、饭店、学校、医院、制衣厂和公共娱乐场所等85家，下达整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"https://www.liuxue86.com/tongzhi/"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通知</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书28份，已限期整改到位。全年专职消防队出警45次，为群众挽回财产损失达80余万元。</w:t>
      </w:r>
      <w:r>
        <w:rPr>
          <w:rFonts w:hint="eastAsia" w:ascii="仿宋" w:hAnsi="仿宋" w:eastAsia="仿宋" w:cs="仿宋"/>
          <w:b/>
          <w:bCs/>
          <w:sz w:val="32"/>
          <w:szCs w:val="32"/>
        </w:rPr>
        <w:t>加强疫情防控风险防范。</w:t>
      </w:r>
      <w:r>
        <w:rPr>
          <w:rFonts w:hint="eastAsia" w:ascii="仿宋_GB2312" w:hAnsi="仿宋_GB2312" w:eastAsia="仿宋_GB2312" w:cs="仿宋_GB2312"/>
          <w:sz w:val="32"/>
          <w:szCs w:val="32"/>
        </w:rPr>
        <w:t>严格按照中央、省、市、县要求，精心部署，压实“四方责任”，对各类推送数据、交办人员按照“五包一”责任机制，实行网格化管理，摸排各类返乡人员1425人。严格落实“四早”要求，落细常态化疫情防控措施。开展疫苗接种攻坚清零行动，第一针接种37215人，加强针接种4538人，综合接种率85.32%，位居全县第一。</w:t>
      </w:r>
    </w:p>
    <w:p>
      <w:pPr>
        <w:pBdr>
          <w:bottom w:val="single" w:color="FFFFFF" w:sz="4" w:space="31"/>
        </w:pBdr>
        <w:tabs>
          <w:tab w:val="left" w:pos="1440"/>
        </w:tabs>
        <w:topLinePunct/>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（五）围绕社会事业，致力增进民生福祉</w:t>
      </w:r>
    </w:p>
    <w:p>
      <w:pPr>
        <w:pBdr>
          <w:bottom w:val="single" w:color="FFFFFF" w:sz="4" w:space="31"/>
        </w:pBdr>
        <w:tabs>
          <w:tab w:val="left" w:pos="1440"/>
        </w:tabs>
        <w:topLinePunct/>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全力兜住民生保障底线。</w:t>
      </w:r>
      <w:r>
        <w:rPr>
          <w:rFonts w:hint="eastAsia" w:ascii="仿宋_GB2312" w:hAnsi="仿宋_GB2312" w:eastAsia="仿宋_GB2312" w:cs="仿宋_GB2312"/>
          <w:color w:val="auto"/>
          <w:sz w:val="32"/>
          <w:szCs w:val="32"/>
        </w:rPr>
        <w:t>城乡居民基本医疗参合率达</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%，城乡居民养老保险参保率达176%。</w:t>
      </w:r>
      <w:r>
        <w:rPr>
          <w:rFonts w:hint="eastAsia" w:ascii="仿宋_GB2312" w:hAnsi="仿宋_GB2312" w:eastAsia="仿宋_GB2312" w:cs="仿宋_GB2312"/>
          <w:sz w:val="32"/>
          <w:szCs w:val="32"/>
        </w:rPr>
        <w:t>全年救助困难群众461户，救助资金34.96万元。救助残疾人154户，发放残疾救助金及低保金120万余元。积极开展慈善活动，桐木桥携老扶幼爱心协会开展活动5次，资助慰问老人、学生上百人，配合大邵公益荷香桥分站开展助学活动1次。政务服务中心和所有村（社区）级便民站各项工作均规范有序正常开展。全年镇级接待群众办件13225起，办结13225起。村级代办4164件，办结率达100%，基本上实现了“让村民办事最多跑一次，只进一扇门”的目标，群众反响良好。安排专车组织300余人参加到县高新技术开发区各企业和人社局组织的现场招聘会。社保稽查退保费用达152万余元。完成全镇已领取优抚补贴人员571人的年度核查工作。</w:t>
      </w:r>
      <w:r>
        <w:rPr>
          <w:rFonts w:hint="eastAsia" w:ascii="仿宋" w:hAnsi="仿宋" w:eastAsia="仿宋" w:cs="仿宋"/>
          <w:b/>
          <w:bCs/>
          <w:sz w:val="32"/>
          <w:szCs w:val="32"/>
        </w:rPr>
        <w:t>推进文化事业蓬勃发展。</w:t>
      </w:r>
      <w:r>
        <w:rPr>
          <w:rFonts w:hint="eastAsia" w:ascii="仿宋_GB2312" w:hAnsi="仿宋_GB2312" w:eastAsia="仿宋_GB2312" w:cs="仿宋_GB2312"/>
          <w:sz w:val="32"/>
          <w:szCs w:val="32"/>
        </w:rPr>
        <w:t>各项文化活动开展有声有色，精彩纷呈，送戏下乡活动在我镇多个村演出，极大地丰富了我镇人民群众的精神文明生活。精心组织人员参加县庆祝“建党100周年”广场舞比赛。7月在竹叶村举办了庆祝建党100周年暨“欢乐潇湘·工商联杯”群众文艺汇演，10多个村组织队伍参赛，现场观众达到800余人次。</w:t>
      </w:r>
      <w:r>
        <w:rPr>
          <w:rFonts w:hint="eastAsia" w:ascii="仿宋" w:hAnsi="仿宋" w:eastAsia="仿宋" w:cs="仿宋"/>
          <w:b/>
          <w:bCs/>
          <w:sz w:val="32"/>
          <w:szCs w:val="32"/>
        </w:rPr>
        <w:t>教育事业平稳推进。</w:t>
      </w:r>
      <w:r>
        <w:rPr>
          <w:rFonts w:hint="eastAsia" w:ascii="仿宋_GB2312" w:hAnsi="仿宋_GB2312" w:eastAsia="仿宋_GB2312" w:cs="仿宋_GB2312"/>
          <w:sz w:val="32"/>
          <w:szCs w:val="32"/>
        </w:rPr>
        <w:t>领导干部实行包片制度，严格落实辖区内学生保学控流，全镇义务教育阶段学生辍学率为0。全年开展校园周边环境整治6次，为学校提供良好的教书育人环境。</w:t>
      </w:r>
      <w:r>
        <w:rPr>
          <w:rFonts w:hint="eastAsia" w:ascii="仿宋" w:hAnsi="仿宋" w:eastAsia="仿宋" w:cs="仿宋"/>
          <w:b/>
          <w:bCs/>
          <w:sz w:val="32"/>
          <w:szCs w:val="32"/>
        </w:rPr>
        <w:t>移民保障有序推进。</w:t>
      </w:r>
      <w:r>
        <w:rPr>
          <w:rFonts w:hint="eastAsia" w:ascii="仿宋_GB2312" w:hAnsi="仿宋_GB2312" w:eastAsia="仿宋_GB2312" w:cs="仿宋_GB2312"/>
          <w:sz w:val="32"/>
          <w:szCs w:val="32"/>
        </w:rPr>
        <w:t>实施移民基础项目17个，核发移民补助资金974人584400元。</w:t>
      </w:r>
    </w:p>
    <w:p>
      <w:pPr>
        <w:pBdr>
          <w:bottom w:val="single" w:color="FFFFFF" w:sz="4" w:space="31"/>
        </w:pBdr>
        <w:tabs>
          <w:tab w:val="left" w:pos="1440"/>
        </w:tabs>
        <w:topLinePunct/>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（六）夯实党建引领，加强干部队伍建设</w:t>
      </w:r>
    </w:p>
    <w:p>
      <w:pPr>
        <w:pBdr>
          <w:bottom w:val="single" w:color="FFFFFF" w:sz="4" w:space="31"/>
        </w:pBdr>
        <w:tabs>
          <w:tab w:val="left" w:pos="1440"/>
        </w:tabs>
        <w:topLinePunct/>
        <w:spacing w:line="560" w:lineRule="exact"/>
        <w:ind w:firstLine="643" w:firstLineChars="200"/>
        <w:rPr>
          <w:rFonts w:hint="eastAsia" w:ascii="仿宋_GB2312" w:hAnsi="仿宋_GB2312" w:eastAsia="仿宋_GB2312" w:cs="仿宋_GB2312"/>
          <w:sz w:val="32"/>
          <w:szCs w:val="32"/>
        </w:rPr>
      </w:pPr>
      <w:r>
        <w:rPr>
          <w:rFonts w:hint="eastAsia" w:ascii="仿宋" w:hAnsi="仿宋" w:eastAsia="仿宋" w:cs="仿宋"/>
          <w:b/>
          <w:bCs/>
          <w:sz w:val="32"/>
          <w:szCs w:val="32"/>
        </w:rPr>
        <w:t>稳步完成换届选举工作。</w:t>
      </w:r>
      <w:r>
        <w:rPr>
          <w:rFonts w:hint="eastAsia" w:ascii="仿宋_GB2312" w:hAnsi="仿宋_GB2312" w:eastAsia="仿宋_GB2312" w:cs="仿宋_GB2312"/>
          <w:sz w:val="32"/>
          <w:szCs w:val="32"/>
        </w:rPr>
        <w:t>对所有村（社区）开展资源人选摸底、深入谈心谈话，对社情复杂的村（社区）开展风险评估，把难点、复杂点化解在萌芽状态，所有村“两委”班子选举顺利实现组织意图，村（社区）“两委”整体结构实现“两升一降”，村“两委”平均年龄下降5岁，大专以上文化52人，干事创业动力更足。高质量完成县乡党代表、人大代表选举工作。</w:t>
      </w:r>
      <w:r>
        <w:rPr>
          <w:rFonts w:hint="eastAsia" w:ascii="仿宋" w:hAnsi="仿宋" w:eastAsia="仿宋" w:cs="仿宋"/>
          <w:b/>
          <w:bCs/>
          <w:sz w:val="32"/>
          <w:szCs w:val="32"/>
        </w:rPr>
        <w:t>加强村级党组织班子建设。</w:t>
      </w:r>
      <w:r>
        <w:rPr>
          <w:rFonts w:hint="eastAsia" w:ascii="仿宋_GB2312" w:hAnsi="仿宋_GB2312" w:eastAsia="仿宋_GB2312" w:cs="仿宋_GB2312"/>
          <w:sz w:val="32"/>
          <w:szCs w:val="32"/>
        </w:rPr>
        <w:t>坚持先进带后进，夯实战斗堡垒。开展党建示范村和后进村结对子，通过“抓两头、促中间”，村级班子战斗力得到明显提升，九牛坳村正式挂牌全市党建现场教学基地，继续获评邵阳市先进基层党组织，成功创建省级文明村和全省百岁健康村示范点，拟进一步申报市级乡风文明村。</w:t>
      </w:r>
      <w:r>
        <w:rPr>
          <w:rFonts w:hint="eastAsia" w:ascii="仿宋" w:hAnsi="仿宋" w:eastAsia="仿宋" w:cs="仿宋"/>
          <w:b/>
          <w:bCs/>
          <w:sz w:val="32"/>
          <w:szCs w:val="32"/>
        </w:rPr>
        <w:t>加强党员教育管理。</w:t>
      </w:r>
      <w:r>
        <w:rPr>
          <w:rFonts w:hint="eastAsia" w:ascii="仿宋_GB2312" w:hAnsi="仿宋_GB2312" w:eastAsia="仿宋_GB2312" w:cs="仿宋_GB2312"/>
          <w:sz w:val="32"/>
          <w:szCs w:val="32"/>
        </w:rPr>
        <w:t>精准识别，严把党员发展关，确定入党积极分子98名，发展党员47名，大专及以上学历22名，35岁以下26名，女性6名。坚持思想教育与业务能力同步提升，全年900余名党员参加各级培训。扎实开展 “一亮两保”活动，践行“我为群众办实事”宗旨，全年各支部开展乡村振兴、疫情防控、防溺水、交通劝导、人居环境整治等志愿服务活动410余次。</w:t>
      </w:r>
      <w:r>
        <w:rPr>
          <w:rFonts w:hint="eastAsia" w:ascii="仿宋" w:hAnsi="仿宋" w:eastAsia="仿宋" w:cs="仿宋"/>
          <w:b/>
          <w:bCs/>
          <w:sz w:val="32"/>
          <w:szCs w:val="32"/>
        </w:rPr>
        <w:t>落实意识形态主体责任。</w:t>
      </w:r>
      <w:r>
        <w:rPr>
          <w:rFonts w:hint="eastAsia" w:ascii="仿宋_GB2312" w:hAnsi="仿宋_GB2312" w:eastAsia="仿宋_GB2312" w:cs="仿宋_GB2312"/>
          <w:sz w:val="32"/>
          <w:szCs w:val="32"/>
        </w:rPr>
        <w:t>按季分析研判意识形态工作，组织党委中心组开展12次持续深入学习贯彻习近平新时代中国特色社会主义思想。强化舆论监管。牢牢掌握网络意识形态工作话语权</w:t>
      </w:r>
      <w:r>
        <w:rPr>
          <w:rFonts w:hint="eastAsia" w:ascii="仿宋_GB2312" w:hAnsi="仿宋_GB2312" w:eastAsia="仿宋_GB2312" w:cs="仿宋_GB2312"/>
          <w:color w:val="auto"/>
          <w:sz w:val="32"/>
          <w:szCs w:val="32"/>
        </w:rPr>
        <w:t>，</w:t>
      </w:r>
      <w:r>
        <w:rPr>
          <w:rFonts w:hint="eastAsia" w:ascii="仿宋" w:hAnsi="仿宋" w:eastAsia="仿宋" w:cs="仿宋"/>
          <w:color w:val="auto"/>
          <w:sz w:val="32"/>
          <w:szCs w:val="32"/>
        </w:rPr>
        <w:t>全年及时回复</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起网络舆情，加强外宣工作，今年在各类媒体上发稿2</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0余篇。</w:t>
      </w:r>
      <w:r>
        <w:rPr>
          <w:rFonts w:hint="eastAsia" w:ascii="仿宋" w:hAnsi="仿宋" w:eastAsia="仿宋" w:cs="仿宋"/>
          <w:b/>
          <w:bCs/>
          <w:sz w:val="32"/>
          <w:szCs w:val="32"/>
        </w:rPr>
        <w:t>狠抓作风建设。</w:t>
      </w:r>
      <w:r>
        <w:rPr>
          <w:rFonts w:hint="eastAsia" w:ascii="仿宋_GB2312" w:hAnsi="仿宋_GB2312" w:eastAsia="仿宋_GB2312" w:cs="仿宋_GB2312"/>
          <w:sz w:val="32"/>
          <w:szCs w:val="32"/>
        </w:rPr>
        <w:t>扎实开展“带着板凳进村”、村级巡察、清廉建设等工作，坚持一线工作法，靠前监督、主动监督，抓早抓小、防微杜渐，将问题解决在一线，同时推行容错机制，为肯干事、能干事的镇村两级干部提供支持，党纪立案10人，政务立案3人。通报批评44人次，批评教育5人，党内警告3人，党内严重警告3人，取消预备党员资格1人，政务警告1人，政务记过1人，追缴资金0.3万元。</w:t>
      </w:r>
    </w:p>
    <w:p>
      <w:pPr>
        <w:pBdr>
          <w:bottom w:val="single" w:color="FFFFFF" w:sz="4" w:space="31"/>
        </w:pBdr>
        <w:tabs>
          <w:tab w:val="left" w:pos="1440"/>
        </w:tabs>
        <w:topLinePunct/>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2021年我镇先后获得全县平安建设先进乡镇、“扫黄打非”工作先进单位、禁捕退捕工作先进单位、创建湖南省森林城市先进单位、河长制工作先进单位、生猪稳产保供工作先进单位、农房一体确权发证工作先进单位、地质灾害防治工作先进单位、2021年度全县城乡居民基本医疗保险征缴工作二等奖、2020年度全县城乡居民基本养老保险征缴工作一等奖等荣誉。</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存在的问题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1、预算编制有待细化。预算编制不够明确和细化，预算执行力度还要进一步加强。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2、财务管理有待创新。财务管理水平和逐年上升的财务要求不匹配，相对落后。</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3、资产管理有待加强。</w:t>
      </w:r>
    </w:p>
    <w:p>
      <w:pPr>
        <w:spacing w:line="600" w:lineRule="exact"/>
        <w:ind w:firstLine="640" w:firstLineChars="200"/>
        <w:rPr>
          <w:rFonts w:hint="eastAsia" w:eastAsia="仿宋_GB2312"/>
          <w:lang w:eastAsia="zh-CN"/>
        </w:rPr>
      </w:pPr>
      <w:r>
        <w:rPr>
          <w:rFonts w:hint="eastAsia" w:ascii="Times New Roman" w:hAnsi="Times New Roman" w:eastAsia="仿宋_GB2312" w:cs="Times New Roman"/>
          <w:sz w:val="32"/>
          <w:szCs w:val="32"/>
        </w:rPr>
        <w:t>4、绩效文明考核奖和信访维稳工作、</w:t>
      </w:r>
      <w:r>
        <w:rPr>
          <w:rFonts w:hint="eastAsia" w:ascii="Times New Roman" w:hAnsi="Times New Roman" w:eastAsia="仿宋_GB2312" w:cs="Times New Roman"/>
          <w:sz w:val="32"/>
          <w:szCs w:val="32"/>
          <w:lang w:eastAsia="zh-CN"/>
        </w:rPr>
        <w:t>乡村振兴</w:t>
      </w:r>
      <w:r>
        <w:rPr>
          <w:rFonts w:hint="eastAsia" w:ascii="Times New Roman" w:hAnsi="Times New Roman" w:eastAsia="仿宋_GB2312" w:cs="Times New Roman"/>
          <w:sz w:val="32"/>
          <w:szCs w:val="32"/>
        </w:rPr>
        <w:t>工作等日常公用经费预算不足。各种突发工作增多，却无经费解决</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改进措施和有关建议</w:t>
      </w:r>
    </w:p>
    <w:p>
      <w:pPr>
        <w:spacing w:line="600" w:lineRule="exact"/>
        <w:ind w:firstLine="640" w:firstLineChars="200"/>
        <w:rPr>
          <w:rFonts w:eastAsia="仿宋_GB2312"/>
          <w:sz w:val="32"/>
          <w:szCs w:val="32"/>
        </w:rPr>
      </w:pPr>
      <w:r>
        <w:rPr>
          <w:rFonts w:hint="eastAsia" w:eastAsia="仿宋_GB2312"/>
          <w:sz w:val="32"/>
          <w:szCs w:val="32"/>
        </w:rPr>
        <w:t>1、细化预算编制工作，认真做好预算的编制。进一步加强单位内部机构各部门的预算管理意识，严格按照预算编制的相关制度和要求进行预算编制，进一步提高预算编制的科学性、严谨性和可控性。</w:t>
      </w:r>
    </w:p>
    <w:p>
      <w:pPr>
        <w:spacing w:line="600" w:lineRule="exact"/>
        <w:ind w:firstLine="640" w:firstLineChars="200"/>
        <w:rPr>
          <w:rFonts w:eastAsia="仿宋_GB2312"/>
          <w:sz w:val="32"/>
          <w:szCs w:val="32"/>
        </w:rPr>
      </w:pPr>
      <w:r>
        <w:rPr>
          <w:rFonts w:hint="eastAsia" w:eastAsia="仿宋_GB2312"/>
          <w:sz w:val="32"/>
          <w:szCs w:val="32"/>
        </w:rPr>
        <w:t>2、加强财务管理，严格财务审核。加强单位财务管理，在费用报账支付时，按照预算规定的费用项目和用途进行资金使用审核、列报支付、财务核算，杜绝超支现象的发生。</w:t>
      </w:r>
    </w:p>
    <w:p>
      <w:pPr>
        <w:spacing w:line="600" w:lineRule="exact"/>
        <w:ind w:firstLine="640" w:firstLineChars="200"/>
        <w:rPr>
          <w:rFonts w:hint="eastAsia" w:eastAsia="仿宋_GB2312"/>
          <w:sz w:val="32"/>
          <w:szCs w:val="32"/>
        </w:rPr>
      </w:pPr>
      <w:r>
        <w:rPr>
          <w:rFonts w:hint="eastAsia" w:eastAsia="仿宋_GB2312"/>
          <w:sz w:val="32"/>
          <w:szCs w:val="32"/>
        </w:rPr>
        <w:t>3、完善资产管理。规范各类资产的购置审批、采购、使用管理、处置和报废、管理岗位职责等制度，加强单位内部的资产管理工作。</w:t>
      </w:r>
    </w:p>
    <w:p>
      <w:pPr>
        <w:spacing w:line="600" w:lineRule="exact"/>
        <w:ind w:firstLine="640" w:firstLineChars="200"/>
        <w:rPr>
          <w:rFonts w:hint="eastAsia" w:eastAsia="仿宋_GB2312"/>
          <w:sz w:val="32"/>
          <w:szCs w:val="32"/>
          <w:lang w:eastAsia="zh-CN"/>
        </w:rPr>
      </w:pPr>
      <w:r>
        <w:rPr>
          <w:rFonts w:hint="eastAsia" w:eastAsia="仿宋_GB2312"/>
          <w:sz w:val="32"/>
          <w:szCs w:val="32"/>
        </w:rPr>
        <w:t>4、增加预算。增加干部职工绩效考核奖</w:t>
      </w:r>
      <w:r>
        <w:rPr>
          <w:rFonts w:hint="eastAsia" w:eastAsia="仿宋_GB2312"/>
          <w:sz w:val="32"/>
          <w:szCs w:val="32"/>
          <w:lang w:eastAsia="zh-CN"/>
        </w:rPr>
        <w:t>、</w:t>
      </w:r>
      <w:r>
        <w:rPr>
          <w:rFonts w:hint="eastAsia" w:eastAsia="仿宋_GB2312"/>
          <w:sz w:val="32"/>
          <w:szCs w:val="32"/>
        </w:rPr>
        <w:t>信访维稳工作经费</w:t>
      </w:r>
      <w:r>
        <w:rPr>
          <w:rFonts w:hint="eastAsia" w:eastAsia="仿宋_GB2312"/>
          <w:sz w:val="32"/>
          <w:szCs w:val="32"/>
          <w:lang w:eastAsia="zh-CN"/>
        </w:rPr>
        <w:t>、</w:t>
      </w:r>
      <w:r>
        <w:rPr>
          <w:rFonts w:hint="eastAsia" w:eastAsia="仿宋_GB2312"/>
          <w:sz w:val="32"/>
          <w:szCs w:val="32"/>
        </w:rPr>
        <w:t>环境卫生整治专项经费</w:t>
      </w:r>
      <w:r>
        <w:rPr>
          <w:rFonts w:hint="eastAsia" w:eastAsia="仿宋_GB2312"/>
          <w:sz w:val="32"/>
          <w:szCs w:val="32"/>
          <w:lang w:eastAsia="zh-CN"/>
        </w:rPr>
        <w:t>、乡村振兴工作、疫情防控工作等经费。</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5、加强固定资产管理，建议聘请第三方公司进行专业的全面盘查清点，便于后续更规范管理。</w:t>
      </w:r>
    </w:p>
    <w:p>
      <w:pPr>
        <w:spacing w:line="600" w:lineRule="exact"/>
        <w:ind w:firstLine="640" w:firstLineChars="200"/>
        <w:rPr>
          <w:rFonts w:hint="eastAsia"/>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、加强人员培训。加强</w:t>
      </w:r>
      <w:r>
        <w:rPr>
          <w:rFonts w:hint="eastAsia" w:ascii="Times New Roman" w:hAnsi="Times New Roman" w:eastAsia="仿宋_GB2312" w:cs="Times New Roman"/>
          <w:sz w:val="32"/>
          <w:szCs w:val="32"/>
          <w:lang w:eastAsia="zh-CN"/>
        </w:rPr>
        <w:t>财务</w:t>
      </w:r>
      <w:r>
        <w:rPr>
          <w:rFonts w:hint="eastAsia" w:ascii="Times New Roman" w:hAnsi="Times New Roman" w:eastAsia="仿宋_GB2312" w:cs="Times New Roman"/>
          <w:sz w:val="32"/>
          <w:szCs w:val="32"/>
        </w:rPr>
        <w:t>工作人员</w:t>
      </w:r>
      <w:r>
        <w:rPr>
          <w:rFonts w:hint="eastAsia" w:ascii="Times New Roman" w:hAnsi="Times New Roman" w:eastAsia="仿宋_GB2312" w:cs="Times New Roman"/>
          <w:sz w:val="32"/>
          <w:szCs w:val="32"/>
          <w:lang w:eastAsia="zh-CN"/>
        </w:rPr>
        <w:t>业务</w:t>
      </w:r>
      <w:r>
        <w:rPr>
          <w:rFonts w:hint="eastAsia" w:ascii="Times New Roman" w:hAnsi="Times New Roman" w:eastAsia="仿宋_GB2312" w:cs="Times New Roman"/>
          <w:sz w:val="32"/>
          <w:szCs w:val="32"/>
        </w:rPr>
        <w:t>培训，提高工作人员的专业能力和水平，推动</w:t>
      </w:r>
      <w:r>
        <w:rPr>
          <w:rFonts w:hint="eastAsia" w:ascii="Times New Roman" w:hAnsi="Times New Roman" w:eastAsia="仿宋_GB2312" w:cs="Times New Roman"/>
          <w:sz w:val="32"/>
          <w:szCs w:val="32"/>
          <w:lang w:eastAsia="zh-CN"/>
        </w:rPr>
        <w:t>财务管理以及</w:t>
      </w:r>
      <w:r>
        <w:rPr>
          <w:rFonts w:hint="eastAsia" w:ascii="Times New Roman" w:hAnsi="Times New Roman" w:eastAsia="仿宋_GB2312" w:cs="Times New Roman"/>
          <w:sz w:val="32"/>
          <w:szCs w:val="32"/>
        </w:rPr>
        <w:t>绩效工作全面发展。</w:t>
      </w:r>
    </w:p>
    <w:p>
      <w:pPr>
        <w:spacing w:line="560" w:lineRule="exact"/>
        <w:rPr>
          <w:rFonts w:ascii="黑体" w:hAnsi="宋体" w:eastAsia="黑体" w:cs="宋体"/>
          <w:kern w:val="0"/>
          <w:sz w:val="32"/>
          <w:szCs w:val="32"/>
        </w:rPr>
      </w:pPr>
    </w:p>
    <w:p>
      <w:pPr>
        <w:spacing w:line="56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荷香桥镇人民政府</w:t>
      </w:r>
    </w:p>
    <w:p>
      <w:pPr>
        <w:spacing w:line="560" w:lineRule="exact"/>
        <w:ind w:firstLine="5440" w:firstLineChars="1700"/>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sectPr>
      <w:headerReference r:id="rId3" w:type="default"/>
      <w:footerReference r:id="rId4" w:type="default"/>
      <w:footerReference r:id="rId5" w:type="even"/>
      <w:pgSz w:w="11905" w:h="16837"/>
      <w:pgMar w:top="1134" w:right="1587" w:bottom="1134" w:left="1588" w:header="720" w:footer="1134"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jc w:val="righ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DDDC5"/>
    <w:multiLevelType w:val="singleLevel"/>
    <w:tmpl w:val="805DDDC5"/>
    <w:lvl w:ilvl="0" w:tentative="0">
      <w:start w:val="1"/>
      <w:numFmt w:val="chineseCounting"/>
      <w:suff w:val="nothing"/>
      <w:lvlText w:val="%1、"/>
      <w:lvlJc w:val="left"/>
      <w:rPr>
        <w:rFonts w:hint="eastAsia"/>
      </w:rPr>
    </w:lvl>
  </w:abstractNum>
  <w:abstractNum w:abstractNumId="1">
    <w:nsid w:val="A56F1558"/>
    <w:multiLevelType w:val="singleLevel"/>
    <w:tmpl w:val="A56F1558"/>
    <w:lvl w:ilvl="0" w:tentative="0">
      <w:start w:val="3"/>
      <w:numFmt w:val="chineseCounting"/>
      <w:suff w:val="nothing"/>
      <w:lvlText w:val="（%1）"/>
      <w:lvlJc w:val="left"/>
      <w:rPr>
        <w:rFonts w:hint="eastAsia"/>
      </w:rPr>
    </w:lvl>
  </w:abstractNum>
  <w:abstractNum w:abstractNumId="2">
    <w:nsid w:val="C1237D16"/>
    <w:multiLevelType w:val="singleLevel"/>
    <w:tmpl w:val="C1237D16"/>
    <w:lvl w:ilvl="0" w:tentative="0">
      <w:start w:val="2"/>
      <w:numFmt w:val="chineseCounting"/>
      <w:suff w:val="nothing"/>
      <w:lvlText w:val="（%1）"/>
      <w:lvlJc w:val="left"/>
      <w:rPr>
        <w:rFonts w:hint="eastAsia"/>
      </w:rPr>
    </w:lvl>
  </w:abstractNum>
  <w:abstractNum w:abstractNumId="3">
    <w:nsid w:val="ECFDE750"/>
    <w:multiLevelType w:val="singleLevel"/>
    <w:tmpl w:val="ECFDE750"/>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538B0"/>
    <w:rsid w:val="01600BAC"/>
    <w:rsid w:val="018E17F6"/>
    <w:rsid w:val="02C061BC"/>
    <w:rsid w:val="09D347BB"/>
    <w:rsid w:val="0A686BF6"/>
    <w:rsid w:val="0F2A6D49"/>
    <w:rsid w:val="0F2F69CD"/>
    <w:rsid w:val="117C2E73"/>
    <w:rsid w:val="11E9622E"/>
    <w:rsid w:val="12607728"/>
    <w:rsid w:val="13113C31"/>
    <w:rsid w:val="13C57FC2"/>
    <w:rsid w:val="13EB2DF0"/>
    <w:rsid w:val="1767588B"/>
    <w:rsid w:val="18D538B0"/>
    <w:rsid w:val="18E032C2"/>
    <w:rsid w:val="1CCF110C"/>
    <w:rsid w:val="21B552CB"/>
    <w:rsid w:val="2483632E"/>
    <w:rsid w:val="25B05D49"/>
    <w:rsid w:val="291834E4"/>
    <w:rsid w:val="2A706BB3"/>
    <w:rsid w:val="2C2B5641"/>
    <w:rsid w:val="2E2B5E45"/>
    <w:rsid w:val="2E515D05"/>
    <w:rsid w:val="2FC02FA6"/>
    <w:rsid w:val="2FF745A3"/>
    <w:rsid w:val="315D2B7E"/>
    <w:rsid w:val="316450AF"/>
    <w:rsid w:val="335115F0"/>
    <w:rsid w:val="3546366F"/>
    <w:rsid w:val="357070B5"/>
    <w:rsid w:val="38FC7F68"/>
    <w:rsid w:val="3A754CC9"/>
    <w:rsid w:val="3BEA370A"/>
    <w:rsid w:val="3D203E12"/>
    <w:rsid w:val="3ECD3124"/>
    <w:rsid w:val="3F9A003D"/>
    <w:rsid w:val="40F164D7"/>
    <w:rsid w:val="44997A87"/>
    <w:rsid w:val="475F4422"/>
    <w:rsid w:val="4874505C"/>
    <w:rsid w:val="49136AFE"/>
    <w:rsid w:val="49201968"/>
    <w:rsid w:val="4BB905DA"/>
    <w:rsid w:val="4C960CD7"/>
    <w:rsid w:val="4E0B709E"/>
    <w:rsid w:val="507C62DD"/>
    <w:rsid w:val="52DD2F21"/>
    <w:rsid w:val="563C6D66"/>
    <w:rsid w:val="565C4B5A"/>
    <w:rsid w:val="578E37A1"/>
    <w:rsid w:val="58C76ABA"/>
    <w:rsid w:val="58EE5CFB"/>
    <w:rsid w:val="5D6003D0"/>
    <w:rsid w:val="635B32B1"/>
    <w:rsid w:val="63AD5DD7"/>
    <w:rsid w:val="65ED7F30"/>
    <w:rsid w:val="67577661"/>
    <w:rsid w:val="6A522671"/>
    <w:rsid w:val="6ACB22C2"/>
    <w:rsid w:val="6C6A0E2B"/>
    <w:rsid w:val="6C801864"/>
    <w:rsid w:val="6E615BFD"/>
    <w:rsid w:val="767C2482"/>
    <w:rsid w:val="78853E63"/>
    <w:rsid w:val="7A3613CA"/>
    <w:rsid w:val="7D2A54B9"/>
    <w:rsid w:val="7FA6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4081</Words>
  <Characters>4307</Characters>
  <Lines>0</Lines>
  <Paragraphs>0</Paragraphs>
  <TotalTime>0</TotalTime>
  <ScaleCrop>false</ScaleCrop>
  <LinksUpToDate>false</LinksUpToDate>
  <CharactersWithSpaces>4587</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不一样的小仙</cp:lastModifiedBy>
  <cp:lastPrinted>2022-05-06T00:41:15Z</cp:lastPrinted>
  <dcterms:modified xsi:type="dcterms:W3CDTF">2022-05-06T01:06:27Z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y fmtid="{D5CDD505-2E9C-101B-9397-08002B2CF9AE}" pid="3" name="ICV">
    <vt:lpwstr>FC4AD5B48165493FADE0A0374E14E380</vt:lpwstr>
  </property>
</Properties>
</file>