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部门整体支出绩效自评基础数据表</w:t>
      </w:r>
    </w:p>
    <w:tbl>
      <w:tblPr>
        <w:tblStyle w:val="7"/>
        <w:tblW w:w="9142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533"/>
        <w:gridCol w:w="1168"/>
        <w:gridCol w:w="2372"/>
        <w:gridCol w:w="605"/>
        <w:gridCol w:w="567"/>
        <w:gridCol w:w="992"/>
        <w:gridCol w:w="415"/>
        <w:gridCol w:w="990"/>
        <w:gridCol w:w="480"/>
        <w:gridCol w:w="934"/>
        <w:gridCol w:w="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80" w:hRule="atLeast"/>
        </w:trPr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ascii="黑体" w:hAnsi="黑体" w:eastAsia="黑体" w:cs="黑体"/>
                <w:sz w:val="24"/>
              </w:rPr>
              <w:t>20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4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1036" w:hRule="exact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基本情况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单位名称（盖章）</w:t>
            </w:r>
          </w:p>
        </w:tc>
        <w:tc>
          <w:tcPr>
            <w:tcW w:w="7426" w:type="dxa"/>
            <w:gridSpan w:val="9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隆回县公用事业服务中心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466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编制人数</w:t>
            </w:r>
          </w:p>
        </w:tc>
        <w:tc>
          <w:tcPr>
            <w:tcW w:w="2977" w:type="dxa"/>
            <w:gridSpan w:val="2"/>
            <w:noWrap w:val="0"/>
            <w:vAlign w:val="top"/>
          </w:tcPr>
          <w:p>
            <w:pPr>
              <w:spacing w:line="540" w:lineRule="exact"/>
              <w:ind w:firstLine="105" w:firstLineChars="50"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实有人数</w:t>
            </w:r>
          </w:p>
        </w:tc>
        <w:tc>
          <w:tcPr>
            <w:tcW w:w="2890" w:type="dxa"/>
            <w:gridSpan w:val="5"/>
            <w:noWrap w:val="0"/>
            <w:vAlign w:val="top"/>
          </w:tcPr>
          <w:p>
            <w:pPr>
              <w:spacing w:line="540" w:lineRule="exact"/>
              <w:ind w:firstLine="105" w:firstLineChars="50"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2367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部门职能概述</w:t>
            </w:r>
          </w:p>
        </w:tc>
        <w:tc>
          <w:tcPr>
            <w:tcW w:w="7426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1、宣传、贯彻、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落实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国家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省、市、县有关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城市公用事业工作的法律、法规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和政策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。2、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县城规划区内园林绿化建设、城市绿化设施及公园的运行和维护服务，负责城市道路、城市桥梁、城市照明、城市排水管网、污水泵站、道路交通隔离护栏、地下管廊等市政设施的运行和维护服务；负责县建制镇的市政公用设施业务技术指导工作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3、承担县委、县政府和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上级主管部门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交办的其它事项。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72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年度收入（万元）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县财政预算安排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1593.08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24.10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005" w:type="dxa"/>
            <w:gridSpan w:val="2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2234.22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55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中央省市安排资金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490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pacing w:line="560" w:lineRule="exact"/>
              <w:ind w:firstLine="315" w:firstLineChars="1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其他收入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127.04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05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60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年度支出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（万元）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基本支出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705.18</w:t>
            </w:r>
          </w:p>
        </w:tc>
        <w:tc>
          <w:tcPr>
            <w:tcW w:w="140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项目支出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1053.87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0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1759.05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708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其中三公经费支出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7.14</w:t>
            </w:r>
          </w:p>
        </w:tc>
        <w:tc>
          <w:tcPr>
            <w:tcW w:w="1407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816" w:hRule="exact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实施情况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财政供养人员控制情况</w:t>
            </w:r>
          </w:p>
        </w:tc>
        <w:tc>
          <w:tcPr>
            <w:tcW w:w="7426" w:type="dxa"/>
            <w:gridSpan w:val="9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是否存在超编超配人员：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1437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三公经费管理情况</w:t>
            </w:r>
          </w:p>
        </w:tc>
        <w:tc>
          <w:tcPr>
            <w:tcW w:w="7426" w:type="dxa"/>
            <w:gridSpan w:val="9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是否制定“三公”经费管理办法：是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招待费用是否明确招待标准和招待人数：是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公务用车购置运行费是否比上年度下降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三公经费是否比年度下降：是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1125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非税收入完成情况</w:t>
            </w:r>
          </w:p>
        </w:tc>
        <w:tc>
          <w:tcPr>
            <w:tcW w:w="7426" w:type="dxa"/>
            <w:gridSpan w:val="9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年度非税收入是否完成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是否实行收支两条线管理：是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有无截留、坐支、转移等现象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有□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无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814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政府采购及金额</w:t>
            </w:r>
          </w:p>
        </w:tc>
        <w:tc>
          <w:tcPr>
            <w:tcW w:w="7426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年度是否制定了政府采购计划：是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□否</w:t>
            </w:r>
          </w:p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应采购金额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Cs w:val="21"/>
              </w:rPr>
              <w:t>万元，实际采购金额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8.8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1740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预算执行</w:t>
            </w:r>
          </w:p>
        </w:tc>
        <w:tc>
          <w:tcPr>
            <w:tcW w:w="7426" w:type="dxa"/>
            <w:gridSpan w:val="9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本年度是否追加了预算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, </w:t>
            </w:r>
            <w:r>
              <w:rPr>
                <w:rFonts w:hint="eastAsia" w:ascii="楷体" w:hAnsi="楷体" w:eastAsia="楷体" w:cs="楷体"/>
                <w:szCs w:val="21"/>
              </w:rPr>
              <w:t>追加金额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本年度是否有结余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  <w:r>
              <w:rPr>
                <w:rFonts w:ascii="楷体" w:hAnsi="楷体" w:eastAsia="楷体" w:cs="楷体"/>
                <w:szCs w:val="21"/>
              </w:rPr>
              <w:t>,</w:t>
            </w:r>
            <w:r>
              <w:rPr>
                <w:rFonts w:hint="eastAsia" w:ascii="楷体" w:hAnsi="楷体" w:eastAsia="楷体" w:cs="楷体"/>
                <w:szCs w:val="21"/>
              </w:rPr>
              <w:t>结余金额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475.17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预决算信息是否公开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公开时间</w:t>
            </w:r>
            <w:r>
              <w:rPr>
                <w:rFonts w:ascii="楷体" w:hAnsi="楷体" w:eastAsia="楷体" w:cs="楷体"/>
                <w:szCs w:val="21"/>
              </w:rPr>
              <w:t xml:space="preserve">: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2020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日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公开方式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门户网站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单位内部□</w:t>
            </w:r>
            <w:r>
              <w:rPr>
                <w:rFonts w:ascii="楷体" w:hAnsi="楷体" w:eastAsia="楷体" w:cs="楷体"/>
                <w:szCs w:val="21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997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财务管理</w:t>
            </w:r>
          </w:p>
        </w:tc>
        <w:tc>
          <w:tcPr>
            <w:tcW w:w="7426" w:type="dxa"/>
            <w:gridSpan w:val="9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是否制定财务管理、会计核算等制度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会计机构是否按规定设置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会计人员是否持证上岗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997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资金管理</w:t>
            </w:r>
          </w:p>
        </w:tc>
        <w:tc>
          <w:tcPr>
            <w:tcW w:w="7426" w:type="dxa"/>
            <w:gridSpan w:val="9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是否制定资金管理办法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资金拨付有完整的审批程序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有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无□</w:t>
            </w:r>
          </w:p>
          <w:p>
            <w:pPr>
              <w:ind w:left="3885" w:hanging="3885" w:hangingChars="18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资金使用是否存在违规使用资金、乱发津补贴奖金现象：是□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1280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</w:t>
            </w:r>
          </w:p>
        </w:tc>
        <w:tc>
          <w:tcPr>
            <w:tcW w:w="7426" w:type="dxa"/>
            <w:gridSpan w:val="9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是否制定资产管理制度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A3"/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资产管理、保存、处置是否合理规范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资产是否产权清晰、两证齐全：是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账、表、实、卡是否相符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61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职责履行</w:t>
            </w:r>
          </w:p>
        </w:tc>
        <w:tc>
          <w:tcPr>
            <w:tcW w:w="7426" w:type="dxa"/>
            <w:gridSpan w:val="9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重点工作是否全部完成且质量达标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541" w:hRule="atLeast"/>
        </w:trPr>
        <w:tc>
          <w:tcPr>
            <w:tcW w:w="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主要绩效</w:t>
            </w:r>
          </w:p>
        </w:tc>
        <w:tc>
          <w:tcPr>
            <w:tcW w:w="8594" w:type="dxa"/>
            <w:gridSpan w:val="10"/>
            <w:noWrap w:val="0"/>
            <w:vAlign w:val="center"/>
          </w:tcPr>
          <w:p>
            <w:pPr>
              <w:ind w:firstLine="120" w:firstLineChars="50"/>
              <w:rPr>
                <w:rFonts w:ascii="楷体" w:hAnsi="楷体" w:eastAsia="楷体" w:cs="楷体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年，我单位积极履职，强化管理，较好的完成了年度工作目标。通过加强预算收支管理，不断建立健全内部管理制度，梳理内部管理流程，部门整体支出管理水平得到提升。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切实做好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了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厉行节约工作，严格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控制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三公”经费支出规模和比例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，加强对公务用车的管理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全面落实各项管理制度要求，努力降低行政成本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积极推进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城市公用事业精细化维护和管理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着重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维护了路灯、园林、排水、护栏、道路、污水提升泵站等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市政公共设施的安全正常运转，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认真做好了春节、国庆期间县城美化亮化工作，使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市民生活环境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改善。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697" w:hRule="atLeast"/>
        </w:trPr>
        <w:tc>
          <w:tcPr>
            <w:tcW w:w="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自评结论</w:t>
            </w:r>
          </w:p>
        </w:tc>
        <w:tc>
          <w:tcPr>
            <w:tcW w:w="859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534" w:hRule="atLeast"/>
        </w:trPr>
        <w:tc>
          <w:tcPr>
            <w:tcW w:w="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问题与建议</w:t>
            </w:r>
          </w:p>
        </w:tc>
        <w:tc>
          <w:tcPr>
            <w:tcW w:w="8594" w:type="dxa"/>
            <w:gridSpan w:val="10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1、国有资产使用管理规范性有待进一步加强；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2、内部控制制度有待进一步完善；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3、预算管理意识有待进一步加强。</w:t>
            </w:r>
          </w:p>
          <w:p>
            <w:pPr>
              <w:pStyle w:val="2"/>
              <w:numPr>
                <w:ilvl w:val="0"/>
                <w:numId w:val="0"/>
              </w:numPr>
              <w:ind w:firstLine="1680" w:firstLineChars="7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974" w:hRule="atLeast"/>
        </w:trPr>
        <w:tc>
          <w:tcPr>
            <w:tcW w:w="5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主管部门意见</w:t>
            </w:r>
          </w:p>
        </w:tc>
        <w:tc>
          <w:tcPr>
            <w:tcW w:w="8594" w:type="dxa"/>
            <w:gridSpan w:val="10"/>
            <w:noWrap w:val="0"/>
            <w:vAlign w:val="top"/>
          </w:tcPr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主管部门（盖章）：</w:t>
            </w:r>
          </w:p>
        </w:tc>
      </w:tr>
    </w:tbl>
    <w:p>
      <w:pPr>
        <w:rPr>
          <w:rFonts w:ascii="宋体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填报人：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袁艳云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>联系电话：</w:t>
      </w:r>
      <w:r>
        <w:rPr>
          <w:rFonts w:hint="eastAsia" w:ascii="宋体" w:hAnsi="宋体"/>
          <w:szCs w:val="21"/>
          <w:lang w:val="en-US" w:eastAsia="zh-CN"/>
        </w:rPr>
        <w:t>13707393267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>时间：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2021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22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p>
      <w:pPr>
        <w:spacing w:line="560" w:lineRule="exact"/>
        <w:rPr>
          <w:rFonts w:eastAsia="黑体"/>
          <w:kern w:val="0"/>
        </w:rPr>
      </w:pPr>
      <w:r>
        <w:rPr>
          <w:rFonts w:hint="eastAsia" w:eastAsia="黑体"/>
          <w:kern w:val="0"/>
        </w:rPr>
        <w:t>注：自评结论填“优、良、中、差”。</w:t>
      </w:r>
    </w:p>
    <w:p>
      <w:pPr>
        <w:spacing w:line="560" w:lineRule="exact"/>
        <w:rPr>
          <w:rFonts w:eastAsia="黑体"/>
          <w:kern w:val="0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/>
          <w:bCs w:val="0"/>
          <w:color w:val="auto"/>
          <w:kern w:val="0"/>
          <w:sz w:val="48"/>
          <w:szCs w:val="48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48"/>
          <w:szCs w:val="48"/>
        </w:rPr>
        <w:t>部门整体支出绩效自评报告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为确实做好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年度部门整体支出绩效自评工作，提高财政资金使用效益，根据县财政局《关于开展20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部门整体支出和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县级财政资金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支出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绩效评价工作的通知》（隆财绩[20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]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号）文件精神，结合实际，我单位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通过</w:t>
      </w:r>
      <w:r>
        <w:rPr>
          <w:rFonts w:hint="eastAsia" w:ascii="仿宋_GB2312" w:hAnsi="仿宋" w:eastAsia="仿宋_GB2312"/>
          <w:color w:val="auto"/>
          <w:spacing w:val="-8"/>
          <w:sz w:val="28"/>
          <w:szCs w:val="28"/>
        </w:rPr>
        <w:t>现场勘验、资料核查、文件核对、数据核定，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开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座谈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等方式，检查基本支出、项目支出有关账目，收集整理支出相关资料，并根据各部门（股室）报送的绩效自评材料进行分析、总结，现将我单位整体支出绩效自评结果报告如下：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一、部门概况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（一）部门基本情况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我单位是副科级全额拨款事业单位，隶属于县城管局，内设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机构7个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综合部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财务部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、园林绿化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城市照明维护部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、排水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维护部、道路维护部、技术部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我单位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编制人数为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人，实际人数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人，其中在职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人，离退休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人。小车编制数1台，实际1台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于2020年3月事业单位公车改革时根据上级文件要求上交主管部门保管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。遗属补助人数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人，房屋面积1360平方米。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我单位的职能职责是：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1、宣传、贯彻、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落实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国家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省、市、县有关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城市公用事业工作的法律、法规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和政策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负责县城规划区内园林绿化建设、城市绿化设施及公园的运行和维护服务，负责城市道路、城市桥梁、城市照明、城市排水管网、污水泵站、道路交通隔离护栏、地下管廊等市政设施的运行和维护服务；负责县建制镇的市政公用设施业务技术指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3、承担县委、县政府和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上级主管部门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交办的其它事项。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年的重点工作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依据有关政策、法规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及县委、县政府和主管部门县城管局的工作部署和安排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负责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城公用事业基础设施即城镇道路、路灯、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园林绿化、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广场、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公园、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排水设施、人行道（除占破道的审批）等的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维护和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管理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以及污水处理泵站的运营维护和管理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有效使用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城市维护建设项目资金和城市基础设施配套费资金，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力争把经费用在刀刃上</w:t>
      </w:r>
      <w:r>
        <w:rPr>
          <w:rFonts w:hint="eastAsia" w:ascii="宋体" w:hAnsi="宋体"/>
          <w:color w:val="auto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部门整体支出情况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部门整体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支出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1759.05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万元。其中：工资福利支出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613.30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万元,商品和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服务支出941.04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万元,对个人和家庭补助支出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3.69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万元，资本性支出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对企业补助85.02万元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。比201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减少95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减少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原因：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我单位积极履职，强化管理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  <w:t>全面落实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中央八项规定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”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  <w:t>制度要求，努力降低行政成本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281" w:firstLineChars="1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部门整体支出管理及使用情况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281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（一）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基本支出情况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年度我单位基本支出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705.18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万元。其中：人员经费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613.64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万元，日常公用经费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91.54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万元。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主要是为了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保障单位机构正常运转、完成日常工作任务而发生的各项支出，包括用于基本工资、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绩效工资、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津贴补贴等人员经费以及办公费、印刷费、水电费及办公设备购置等日常公用经费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281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项目支出情况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年度我单位项目支出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1053.87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万元。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主要是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为完成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城市市政设施建设、维护和管理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而发生的支出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包括城市维护建设项目资金和城市基础设施配套费资金。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281" w:firstLineChars="1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“三公”经费情况</w:t>
      </w:r>
    </w:p>
    <w:p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因公出国（境）费用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0" w:leftChars="0" w:right="0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年度我单位因公出国（境）0批次0人次。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公务接待费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年度我单位公务接待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2.21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3、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公务车购置及运行费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年度我单位未有公务车购置。我单位本年度公务车运行费为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4.93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主要是指市政设施维护特种工程作业用车费用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年，我单位积极履职，强化管理，较好的完成了年度工作目标。通过加强预算收支管理，不断建立健全内部管理制度，梳理内部管理流程，部门整体支出管理水平得到提升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  <w:t>切实做好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了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  <w:t>厉行节约工作，严格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控制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三公”经费支出规模和比例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  <w:t>，加强对公务用车的管理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  <w:t>全面落实各项管理制度要求，努力降低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了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  <w:t>行政成本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积极推进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城市公用事业精细化维护和管理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在专项资金使用方面，主要绩效如下：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（一）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春节亮化、美化：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为使全县人民度过一个喜庆的春节，我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在县城各主干道、高铁站摆放鲜花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54100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多盆、悬挂灯笼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6810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个、中国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梦118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个、各种灯饰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2250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串、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LED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树网940张，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LED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流星雨160根、大型花灯组5套、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制作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迎新年广告牌及横幅各6幅，完成了隆回一桥景观亮化工程。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路灯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维护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维修路灯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6000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余盏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处理路灯安全隐患50多处；重点完成了全县城区路灯巡检及人防工程路灯恢复；定时对责任区域进行巡查，确保责任区域内所有路灯设施的安全正常运转，努力提高盏亮率，想方设法提高人民群众满意度。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园林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维护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积极推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城区公共绿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建设，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补栽绿化苗木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7200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、灌木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30000余株。</w:t>
      </w:r>
      <w:r>
        <w:rPr>
          <w:rFonts w:hint="eastAsia" w:ascii="仿宋" w:hAnsi="仿宋" w:eastAsia="仿宋" w:cs="仿宋"/>
          <w:sz w:val="28"/>
          <w:szCs w:val="28"/>
        </w:rPr>
        <w:t>投入资金45万元补栽伏龙江路、桃花路、九龙南路绿化带22万余株、行道树补栽香樟74株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桃树120株，红枳木球22个，金叶女贞球10株，海桐球10株；投入资金2.8万余元补栽沿江北路、九龙广场、伏龙江南段绿化带，补栽春鹃、黄杨、红叶石楠、小桂花3万余株；投入资金7万元对伏龙江路除草任务进行了全年发包，确保绿化带全年无杂草、行道树2.5米以下无分枝头；对沿江北路、农副产品一条街行道树补栽15CM香樟30株；对城区绿化带养护修剪10次，杀虫3次，扯草5次，对部分行道树进行了修剪；处理社情民意走访问题3起，处理安全隐患事故20余处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  <w:t>隆回县创建湖南省森林城市指挥部关于创森相关文件要求，严格落实责任，成立创森领导小组，通过专题会议研究推进、加班加点、现场查看、资料收集调阅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等方式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  <w:t>、高标准、严要求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地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  <w:t>完成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了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  <w:t>县创森办交办的工作任务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确保</w:t>
      </w:r>
      <w:r>
        <w:rPr>
          <w:rFonts w:hint="eastAsia" w:ascii="仿宋" w:hAnsi="仿宋" w:eastAsia="仿宋" w:cs="仿宋"/>
          <w:sz w:val="28"/>
          <w:szCs w:val="28"/>
        </w:rPr>
        <w:t>园林绿化设施有序运行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城区公共绿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布局日趋合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，“三率”指标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一步提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，县城绿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覆盖率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达到35.78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人均公共绿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地面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17.73平方米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排水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维护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清理桃洪路、桃花路、赧水北路、紫霞路、朝阳路、大桥路、帽子石路、新村路等主干道、次干道雨水井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80余个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改造县委招待所家属楼排水管网200余米，新砌检查井4个，雨水井4个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全面完成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 w:cs="仿宋"/>
          <w:sz w:val="28"/>
          <w:szCs w:val="28"/>
        </w:rPr>
        <w:t>赧水北路顶管清淤工程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对松坡街隆回一中校门口、帽子石路、滨河路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、汽车</w:t>
      </w:r>
      <w:r>
        <w:rPr>
          <w:rFonts w:hint="eastAsia" w:ascii="仿宋" w:hAnsi="仿宋" w:eastAsia="仿宋" w:cs="仿宋"/>
          <w:sz w:val="28"/>
          <w:szCs w:val="28"/>
        </w:rPr>
        <w:t>总站邮政银行前四处易涝点进行了全面改造，彻底消除了路面排水不畅的难题，保障了人民群众的雨天出行安全和财产安全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完成沿河路工商局路口至坳街路口，方大公园入口，荣兴国际路口新增雨水井13个，开挖预埋排水管道130米，修复因人防广场开挖损坏的排水口2处；新公安局沿线与东环路尾段更换破损雨水井盖23个，对全县城区所有的雨水井盖漏水孔堵塞的泥沙进行人工精细化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交通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护栏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维护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维修损坏护栏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2500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道路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维护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对赧水北路东段漓泉啤酒屋前、朝阳路、恒丰加油站背后机动车道路等多处进行了浇筑修补；2、修补了步行街、桃花路、沿河路、公园路等处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人行道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2800余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平方米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污水提升泵站运行管理：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1、对泵站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台</w:t>
      </w:r>
      <w:r>
        <w:rPr>
          <w:rFonts w:hint="eastAsia" w:ascii="仿宋" w:hAnsi="仿宋" w:eastAsia="仿宋" w:cs="仿宋"/>
          <w:sz w:val="28"/>
          <w:szCs w:val="28"/>
        </w:rPr>
        <w:t>潜水泵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维修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，排除故障，确保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污水处理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设备正常运行，保证污水输送量；2、</w:t>
      </w:r>
      <w:r>
        <w:rPr>
          <w:rFonts w:hint="eastAsia" w:ascii="仿宋" w:hAnsi="仿宋" w:eastAsia="仿宋" w:cs="仿宋"/>
          <w:sz w:val="28"/>
          <w:szCs w:val="28"/>
        </w:rPr>
        <w:t>对赧水北路五个排污口沉砂池进行了清理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；3、到12月底共处理污水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1297.795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污水处理率达到93.6%，污染物排放标准优于国家标准，完成了省市下达的节能减排指标。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存在的问题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1、预算管理意识有待进一步加强；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2、国有资产使用管理规范性有待进一步加强；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3、内部控制制度有待进一步完善。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五、改进措施和有关建议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、细化预算编制工作，认真做好预算编制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和执行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。进一步加强单位内部机构各股室的预算管理意识，严格按照预算编制的相关制度和要求进行预算编制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预算执行，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规范部门预算收支核算，切实提高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部门预算收支管理水平。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2、完善资产管理，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规范资产使用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做到谁使用，谁负责，建立资产使用管理责任制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加强财务管理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和监督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进一步完善内部控制制度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。加强单位财务管理，健全单位财务管理制度体系，规范单位财务行为。在费用报账支付时，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严格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按照预算规定的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使用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项目和用途进行资金使用审核、列报支付、财务核算，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坚决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杜绝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违规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超支现象的发生。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                 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隆回县公用事业服务中心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2021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年4月23日</w:t>
      </w: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 w:cs="宋体"/>
      </w:rPr>
      <w:t>—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9"/>
        <w:rFonts w:hint="eastAsia" w:cs="宋体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F9F51"/>
    <w:multiLevelType w:val="singleLevel"/>
    <w:tmpl w:val="D21F9F51"/>
    <w:lvl w:ilvl="0" w:tentative="0">
      <w:start w:val="1"/>
      <w:numFmt w:val="decimal"/>
      <w:suff w:val="space"/>
      <w:lvlText w:val="%1、"/>
      <w:lvlJc w:val="left"/>
      <w:pPr>
        <w:ind w:left="560" w:firstLine="0"/>
      </w:pPr>
    </w:lvl>
  </w:abstractNum>
  <w:abstractNum w:abstractNumId="1">
    <w:nsid w:val="598B6B4D"/>
    <w:multiLevelType w:val="singleLevel"/>
    <w:tmpl w:val="598B6B4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C59A6"/>
    <w:rsid w:val="0D571DB5"/>
    <w:rsid w:val="16762C7D"/>
    <w:rsid w:val="1BA35D35"/>
    <w:rsid w:val="1F1C1978"/>
    <w:rsid w:val="237D1697"/>
    <w:rsid w:val="23C870ED"/>
    <w:rsid w:val="245E5112"/>
    <w:rsid w:val="25EC0BE9"/>
    <w:rsid w:val="2871206C"/>
    <w:rsid w:val="287E6D34"/>
    <w:rsid w:val="2E847DEE"/>
    <w:rsid w:val="2F8B346B"/>
    <w:rsid w:val="30213DDE"/>
    <w:rsid w:val="308D1826"/>
    <w:rsid w:val="32D37E91"/>
    <w:rsid w:val="35C175A4"/>
    <w:rsid w:val="3FF86A36"/>
    <w:rsid w:val="40BC6FC2"/>
    <w:rsid w:val="4357213D"/>
    <w:rsid w:val="44D41D9A"/>
    <w:rsid w:val="452C59A6"/>
    <w:rsid w:val="46DB6ABC"/>
    <w:rsid w:val="46F96631"/>
    <w:rsid w:val="47D71589"/>
    <w:rsid w:val="4C63707E"/>
    <w:rsid w:val="51040B75"/>
    <w:rsid w:val="5665393D"/>
    <w:rsid w:val="5A6F5749"/>
    <w:rsid w:val="5A740AD8"/>
    <w:rsid w:val="5B4D4FE1"/>
    <w:rsid w:val="5DD13DC0"/>
    <w:rsid w:val="601B6C1D"/>
    <w:rsid w:val="60DC5C72"/>
    <w:rsid w:val="61F52216"/>
    <w:rsid w:val="655B3ABC"/>
    <w:rsid w:val="67C47EB3"/>
    <w:rsid w:val="6A080741"/>
    <w:rsid w:val="6BB901A6"/>
    <w:rsid w:val="6CDA1AAD"/>
    <w:rsid w:val="6CF30218"/>
    <w:rsid w:val="6D060FDC"/>
    <w:rsid w:val="7ED97BC9"/>
    <w:rsid w:val="7F1A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2021-04-22T02:37:00Z</dcterms:created>
  <dc:creator>如云荡漾</dc:creator>
  <cp:lastModifiedBy>如云荡漾</cp:lastModifiedBy>
  <cp:lastPrinted>2021-04-27T02:25:00Z</cp:lastPrinted>
  <dcterms:modified xsi:type="dcterms:W3CDTF">2021-06-22T08:29:00Z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2C9FFB443D8C41C498B94626FF83BB25</vt:lpwstr>
  </property>
</Properties>
</file>