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附件</w:t>
      </w:r>
    </w:p>
    <w:tbl>
      <w:tblPr>
        <w:tblStyle w:val="10"/>
        <w:tblW w:w="50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4188"/>
        <w:gridCol w:w="989"/>
        <w:gridCol w:w="3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5000" w:type="pct"/>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b/>
                <w:bCs/>
                <w:i w:val="0"/>
                <w:iCs w:val="0"/>
                <w:color w:val="000000"/>
                <w:sz w:val="36"/>
                <w:szCs w:val="36"/>
                <w:u w:val="none"/>
              </w:rPr>
            </w:pPr>
            <w:r>
              <w:rPr>
                <w:rFonts w:hint="eastAsia" w:ascii="方正大标宋简体" w:hAnsi="方正大标宋简体" w:eastAsia="方正大标宋简体" w:cs="方正大标宋简体"/>
                <w:b w:val="0"/>
                <w:bCs w:val="0"/>
                <w:i w:val="0"/>
                <w:iCs w:val="0"/>
                <w:color w:val="000000"/>
                <w:kern w:val="0"/>
                <w:sz w:val="32"/>
                <w:szCs w:val="32"/>
                <w:u w:val="none"/>
                <w:lang w:val="en-US" w:eastAsia="zh-CN" w:bidi="ar"/>
              </w:rPr>
              <w:t>县本级专项资金绩效评价安排明细表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专项名称</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（万元）</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责任主体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2022年项目前期工作经费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隆回县发改局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2022年科技专项经费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262626"/>
                <w:kern w:val="0"/>
                <w:sz w:val="21"/>
                <w:szCs w:val="21"/>
                <w:u w:val="none"/>
                <w:lang w:val="en-US" w:eastAsia="zh-CN" w:bidi="ar"/>
              </w:rPr>
              <w:t>工业和经济信息化局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2022年农村公路建设专项工作经费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隆回县交通局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2022年地方水利建设资金</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2022年水质检测经费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lang w:val="en-US"/>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2022年公路水毁修复危桥改造和道路养护经费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1"/>
                <w:szCs w:val="21"/>
                <w:u w:val="none"/>
                <w:lang w:val="en-US" w:eastAsia="zh-CN" w:bidi="ar"/>
              </w:rPr>
              <w:t>隆回县公路建养中心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32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2022年文化事业发展和文化产业引导资金</w:t>
            </w:r>
          </w:p>
        </w:tc>
        <w:tc>
          <w:tcPr>
            <w:tcW w:w="549" w:type="pct"/>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sz w:val="21"/>
                <w:szCs w:val="21"/>
                <w:u w:val="none"/>
                <w:lang w:val="en-US" w:eastAsia="zh-CN"/>
              </w:rPr>
              <w:t>40</w:t>
            </w:r>
          </w:p>
        </w:tc>
        <w:tc>
          <w:tcPr>
            <w:tcW w:w="1721" w:type="pc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县委宣传部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32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2022年文化事业发展和文化产业引导资金</w:t>
            </w:r>
          </w:p>
        </w:tc>
        <w:tc>
          <w:tcPr>
            <w:tcW w:w="549" w:type="pct"/>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360</w:t>
            </w:r>
          </w:p>
        </w:tc>
        <w:tc>
          <w:tcPr>
            <w:tcW w:w="1721" w:type="pct"/>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县文旅广体局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32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2022年文化事业发展和文化产业引导资金</w:t>
            </w:r>
          </w:p>
        </w:tc>
        <w:tc>
          <w:tcPr>
            <w:tcW w:w="549" w:type="pct"/>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100</w:t>
            </w:r>
          </w:p>
        </w:tc>
        <w:tc>
          <w:tcPr>
            <w:tcW w:w="1721" w:type="pct"/>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262626"/>
                <w:kern w:val="0"/>
                <w:sz w:val="21"/>
                <w:szCs w:val="21"/>
                <w:u w:val="none"/>
                <w:lang w:val="en-US" w:eastAsia="zh-CN" w:bidi="ar"/>
              </w:rPr>
              <w:t>隆回县融媒体中心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2022年城市基础设施维护改造</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2500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隆回县住建局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2022年城市配套费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1126</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隆回县住建局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2022年污水处理费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隆回县住建局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2022年营养餐教师陪餐及工友补助经费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1000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隆回县教育局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262626"/>
                <w:sz w:val="21"/>
                <w:szCs w:val="21"/>
                <w:u w:val="none"/>
              </w:rPr>
            </w:pPr>
            <w:r>
              <w:rPr>
                <w:rFonts w:hint="eastAsia" w:ascii="仿宋" w:hAnsi="仿宋" w:eastAsia="仿宋" w:cs="仿宋"/>
                <w:b w:val="0"/>
                <w:bCs w:val="0"/>
                <w:i w:val="0"/>
                <w:iCs w:val="0"/>
                <w:color w:val="262626"/>
                <w:sz w:val="21"/>
                <w:szCs w:val="21"/>
                <w:u w:val="none"/>
              </w:rPr>
              <w:t>2021-2022年学校保安经费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2620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2021-2022年教育扶贫</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440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sz w:val="21"/>
                <w:szCs w:val="21"/>
                <w:u w:val="none"/>
                <w:lang w:val="en-US"/>
              </w:rPr>
              <w:t>2022年旅游产业引导资金</w:t>
            </w:r>
          </w:p>
        </w:tc>
        <w:tc>
          <w:tcPr>
            <w:tcW w:w="549"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600</w:t>
            </w:r>
          </w:p>
        </w:tc>
        <w:tc>
          <w:tcPr>
            <w:tcW w:w="172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隆回县虎管处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2022年农业产业专项资金</w:t>
            </w:r>
          </w:p>
        </w:tc>
        <w:tc>
          <w:tcPr>
            <w:tcW w:w="549"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700</w:t>
            </w:r>
          </w:p>
        </w:tc>
        <w:tc>
          <w:tcPr>
            <w:tcW w:w="172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16</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sz w:val="21"/>
                <w:szCs w:val="21"/>
                <w:u w:val="none"/>
                <w:lang w:val="en-US"/>
              </w:rPr>
              <w:t>2022年禁毒反电诈</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隆回县公安局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17</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2020-2022年垃圾清扫社会化服务</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7626</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隆回县城市管理综合服务中心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262626"/>
                <w:kern w:val="2"/>
                <w:sz w:val="21"/>
                <w:szCs w:val="21"/>
                <w:u w:val="none"/>
                <w:lang w:val="en-US" w:eastAsia="zh-CN" w:bidi="ar-SA"/>
              </w:rPr>
            </w:pPr>
            <w:r>
              <w:rPr>
                <w:rFonts w:hint="eastAsia" w:ascii="仿宋" w:hAnsi="仿宋" w:eastAsia="仿宋" w:cs="仿宋"/>
                <w:i w:val="0"/>
                <w:iCs w:val="0"/>
                <w:color w:val="262626"/>
                <w:kern w:val="0"/>
                <w:sz w:val="21"/>
                <w:szCs w:val="21"/>
                <w:u w:val="none"/>
                <w:lang w:val="en-US" w:eastAsia="zh-CN" w:bidi="ar"/>
              </w:rPr>
              <w:t>2020-2022年垃圾清运</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1660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隆回县城市管理综合服务中心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19</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2020-2022年垃圾场运行</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2130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隆回县城市管理综合服务中心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2022年污水处理市场化运营</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850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隆回县城市管理综合服务中心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21</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2021-2022年植被恢复费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1375</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22</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2021-2022年人居环境整治</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2000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隆回县人居环境指挥部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23</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262626"/>
                <w:kern w:val="2"/>
                <w:sz w:val="21"/>
                <w:szCs w:val="21"/>
                <w:u w:val="none"/>
                <w:lang w:val="en-US" w:eastAsia="zh-CN" w:bidi="ar-SA"/>
              </w:rPr>
            </w:pPr>
            <w:r>
              <w:rPr>
                <w:rFonts w:hint="eastAsia" w:ascii="仿宋" w:hAnsi="仿宋" w:eastAsia="仿宋" w:cs="仿宋"/>
                <w:i w:val="0"/>
                <w:iCs w:val="0"/>
                <w:color w:val="262626"/>
                <w:kern w:val="0"/>
                <w:sz w:val="21"/>
                <w:szCs w:val="21"/>
                <w:u w:val="none"/>
                <w:lang w:val="en-US" w:eastAsia="zh-CN" w:bidi="ar"/>
              </w:rPr>
              <w:t>2021-2022年能源电力建设配套经费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1200</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隆回县能源电力指挥部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262626"/>
                <w:sz w:val="21"/>
                <w:szCs w:val="21"/>
                <w:u w:val="none"/>
              </w:rPr>
            </w:pPr>
            <w:r>
              <w:rPr>
                <w:rFonts w:hint="eastAsia" w:ascii="仿宋" w:hAnsi="仿宋" w:eastAsia="仿宋" w:cs="仿宋"/>
                <w:i w:val="0"/>
                <w:iCs w:val="0"/>
                <w:color w:val="262626"/>
                <w:sz w:val="21"/>
                <w:szCs w:val="21"/>
                <w:u w:val="none"/>
              </w:rPr>
              <w:t>2021-2022年计划生育利益导向专项</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1015</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隆回县卫健局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2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5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b/>
                <w:bCs/>
                <w:i w:val="0"/>
                <w:iCs w:val="0"/>
                <w:color w:val="000000"/>
                <w:kern w:val="2"/>
                <w:sz w:val="21"/>
                <w:szCs w:val="21"/>
                <w:u w:val="none"/>
                <w:lang w:val="en-US" w:eastAsia="zh-CN" w:bidi="ar-SA"/>
              </w:rPr>
              <w:t>31182</w:t>
            </w:r>
          </w:p>
        </w:tc>
        <w:tc>
          <w:tcPr>
            <w:tcW w:w="172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1"/>
                <w:szCs w:val="21"/>
                <w:u w:val="none"/>
                <w:lang w:val="en-US" w:eastAsia="zh-CN" w:bidi="ar-SA"/>
              </w:rPr>
            </w:pPr>
          </w:p>
        </w:tc>
      </w:tr>
    </w:tbl>
    <w:p>
      <w:pPr>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附件2</w:t>
      </w:r>
    </w:p>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专项资金绩效自评报告</w:t>
      </w:r>
    </w:p>
    <w:p>
      <w:pPr>
        <w:pStyle w:val="4"/>
        <w:adjustRightInd w:val="0"/>
        <w:snapToGrid w:val="0"/>
        <w:spacing w:before="0" w:after="0" w:line="600" w:lineRule="exact"/>
        <w:jc w:val="center"/>
        <w:rPr>
          <w:rFonts w:hint="eastAsia" w:ascii="楷体" w:hAnsi="楷体" w:eastAsia="楷体" w:cs="楷体"/>
          <w:b/>
          <w:bCs w:val="0"/>
        </w:rPr>
      </w:pPr>
      <w:r>
        <w:rPr>
          <w:rFonts w:hint="eastAsia" w:ascii="楷体" w:hAnsi="楷体" w:eastAsia="楷体" w:cs="楷体"/>
          <w:b/>
          <w:bCs w:val="0"/>
        </w:rPr>
        <w:t>（参考提纲）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（一）项目基本情况简介，包括项目基本性质、用途和主要内容、涉及范围。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（二）项目预期达到的经济、政治和社会效益等。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二、项目资金使用及管理情况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（一）项目资金到位、投入等情况分析。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（二）项目资金实际使用情况分析。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（三）项目资金管理情况分析，主要包括管理制度、办法的制订及执行情况。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（一）项目组织情况分析，主要包括项目招投标、调整、竣工验收等情况。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（二）项目管理情况分析，主要包括项目管理制度建设、日常检查监督管理等情况。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四、项目绩效情况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主要从项目的经济性、效率性、有效性和可持续性等方面进行量化、具体分析。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（一）项目经济性分析，主要包括对项目成本（预算）控制、节约等情况；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（二）项目效率性分析，主要包括对项目实施（完成）的进度及质量等情况；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（三）项目有效性分析，主要包括项目预期目标完成程度和资金使用效果等；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（四）项目可持续性分析，主要是对项目完成后，后续政</w:t>
      </w:r>
      <w:r>
        <w:rPr>
          <w:rFonts w:hint="eastAsia" w:ascii="仿宋" w:hAnsi="仿宋" w:eastAsia="仿宋" w:cs="仿宋"/>
          <w:spacing w:val="6"/>
          <w:sz w:val="32"/>
          <w:szCs w:val="32"/>
        </w:rPr>
        <w:t>策、资金、人员机构安排和管理措施等影响项目持续发展的因素。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关于绩效情况的分析既可从以上四个方面进行归纳，也可以把以上四个方面的内容融入到项目实施取得的显著成效中进行说明。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六、有关建议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kern w:val="0"/>
          <w:sz w:val="24"/>
          <w:szCs w:val="24"/>
        </w:rPr>
      </w:pPr>
      <w:r>
        <w:rPr>
          <w:rFonts w:hint="eastAsia" w:ascii="仿宋" w:hAnsi="仿宋" w:eastAsia="仿宋" w:cs="仿宋"/>
          <w:sz w:val="32"/>
          <w:szCs w:val="32"/>
        </w:rPr>
        <w:br w:type="page"/>
      </w:r>
      <w:r>
        <w:rPr>
          <w:rFonts w:hint="eastAsia" w:ascii="仿宋" w:hAnsi="仿宋" w:eastAsia="仿宋" w:cs="仿宋"/>
          <w:kern w:val="0"/>
          <w:sz w:val="24"/>
          <w:szCs w:val="24"/>
        </w:rPr>
        <w:t>附件3</w:t>
      </w:r>
    </w:p>
    <w:p>
      <w:pPr>
        <w:spacing w:line="600" w:lineRule="exact"/>
        <w:jc w:val="center"/>
        <w:rPr>
          <w:rFonts w:hint="eastAsia" w:ascii="方正大标宋简体" w:hAnsi="方正大标宋简体" w:eastAsia="方正大标宋简体" w:cs="方正大标宋简体"/>
          <w:bCs/>
          <w:kern w:val="0"/>
          <w:sz w:val="32"/>
          <w:szCs w:val="32"/>
        </w:rPr>
      </w:pPr>
      <w:r>
        <w:rPr>
          <w:rFonts w:hint="eastAsia" w:ascii="方正大标宋简体" w:hAnsi="方正大标宋简体" w:eastAsia="方正大标宋简体" w:cs="方正大标宋简体"/>
          <w:bCs/>
          <w:kern w:val="0"/>
          <w:sz w:val="32"/>
          <w:szCs w:val="32"/>
          <w:lang w:eastAsia="zh-CN"/>
        </w:rPr>
        <w:t>202</w:t>
      </w:r>
      <w:r>
        <w:rPr>
          <w:rFonts w:hint="eastAsia" w:ascii="方正大标宋简体" w:hAnsi="方正大标宋简体" w:eastAsia="方正大标宋简体" w:cs="方正大标宋简体"/>
          <w:bCs/>
          <w:kern w:val="0"/>
          <w:sz w:val="32"/>
          <w:szCs w:val="32"/>
          <w:lang w:val="en-US" w:eastAsia="zh-CN"/>
        </w:rPr>
        <w:t>2</w:t>
      </w:r>
      <w:r>
        <w:rPr>
          <w:rFonts w:hint="eastAsia" w:ascii="方正大标宋简体" w:hAnsi="方正大标宋简体" w:eastAsia="方正大标宋简体" w:cs="方正大标宋简体"/>
          <w:bCs/>
          <w:kern w:val="0"/>
          <w:sz w:val="32"/>
          <w:szCs w:val="32"/>
        </w:rPr>
        <w:t>年度部门整体支出绩效自评基础数据表</w:t>
      </w:r>
    </w:p>
    <w:p>
      <w:pPr>
        <w:pStyle w:val="9"/>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单位名称</w:t>
      </w:r>
      <w:r>
        <w:rPr>
          <w:rFonts w:hint="eastAsia" w:ascii="仿宋" w:hAnsi="仿宋" w:eastAsia="仿宋" w:cs="仿宋"/>
          <w:b w:val="0"/>
          <w:bCs w:val="0"/>
          <w:sz w:val="24"/>
          <w:szCs w:val="24"/>
          <w:lang w:val="en-US" w:eastAsia="zh-CN"/>
        </w:rPr>
        <w:t>(盖章）:隆回高新技术产业开发区管理委员会</w:t>
      </w:r>
    </w:p>
    <w:tbl>
      <w:tblPr>
        <w:tblStyle w:val="10"/>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68"/>
        <w:gridCol w:w="2372"/>
        <w:gridCol w:w="605"/>
        <w:gridCol w:w="567"/>
        <w:gridCol w:w="992"/>
        <w:gridCol w:w="560"/>
        <w:gridCol w:w="7"/>
        <w:gridCol w:w="1144"/>
        <w:gridCol w:w="343"/>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533" w:type="dxa"/>
            <w:vMerge w:val="restart"/>
            <w:shd w:val="clear" w:color="auto" w:fill="FFFFFF"/>
            <w:noWrap w:val="0"/>
            <w:vAlign w:val="center"/>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基本情况</w:t>
            </w:r>
          </w:p>
        </w:tc>
        <w:tc>
          <w:tcPr>
            <w:tcW w:w="1168" w:type="dxa"/>
            <w:shd w:val="clear" w:color="auto" w:fill="FFFFFF"/>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编制人数</w:t>
            </w:r>
          </w:p>
        </w:tc>
        <w:tc>
          <w:tcPr>
            <w:tcW w:w="2977" w:type="dxa"/>
            <w:gridSpan w:val="2"/>
            <w:shd w:val="clear" w:color="auto" w:fill="FFFFFF"/>
            <w:noWrap w:val="0"/>
            <w:vAlign w:val="top"/>
          </w:tcPr>
          <w:p>
            <w:pPr>
              <w:spacing w:line="540" w:lineRule="exact"/>
              <w:ind w:firstLine="105" w:firstLineChars="50"/>
              <w:jc w:val="lef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35</w:t>
            </w:r>
          </w:p>
        </w:tc>
        <w:tc>
          <w:tcPr>
            <w:tcW w:w="1559" w:type="dxa"/>
            <w:gridSpan w:val="2"/>
            <w:shd w:val="clear" w:color="auto" w:fill="FFFFFF"/>
            <w:noWrap w:val="0"/>
            <w:vAlign w:val="center"/>
          </w:tcPr>
          <w:p>
            <w:pPr>
              <w:ind w:firstLine="105" w:firstLineChars="50"/>
              <w:jc w:val="center"/>
              <w:rPr>
                <w:rFonts w:hint="eastAsia" w:ascii="仿宋" w:hAnsi="仿宋" w:eastAsia="仿宋" w:cs="仿宋"/>
                <w:color w:val="000000"/>
                <w:szCs w:val="21"/>
              </w:rPr>
            </w:pPr>
            <w:r>
              <w:rPr>
                <w:rFonts w:hint="eastAsia" w:ascii="仿宋" w:hAnsi="仿宋" w:eastAsia="仿宋" w:cs="仿宋"/>
                <w:color w:val="000000"/>
                <w:szCs w:val="21"/>
              </w:rPr>
              <w:t>实有人数</w:t>
            </w:r>
          </w:p>
        </w:tc>
        <w:tc>
          <w:tcPr>
            <w:tcW w:w="3223" w:type="dxa"/>
            <w:gridSpan w:val="5"/>
            <w:shd w:val="clear" w:color="auto" w:fill="FFFFFF"/>
            <w:noWrap w:val="0"/>
            <w:vAlign w:val="top"/>
          </w:tcPr>
          <w:p>
            <w:pPr>
              <w:spacing w:line="540" w:lineRule="exact"/>
              <w:ind w:firstLine="105" w:firstLineChars="50"/>
              <w:jc w:val="lef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2" w:hRule="exact"/>
          <w:jc w:val="center"/>
        </w:trPr>
        <w:tc>
          <w:tcPr>
            <w:tcW w:w="533" w:type="dxa"/>
            <w:vMerge w:val="continue"/>
            <w:shd w:val="clear" w:color="auto" w:fill="FFF8FA"/>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部门职能概述</w:t>
            </w:r>
          </w:p>
        </w:tc>
        <w:tc>
          <w:tcPr>
            <w:tcW w:w="7759" w:type="dxa"/>
            <w:gridSpan w:val="9"/>
            <w:shd w:val="clear" w:color="auto" w:fill="FFFFFF" w:themeFill="background1"/>
            <w:noWrap w:val="0"/>
            <w:vAlign w:val="top"/>
          </w:tcPr>
          <w:p>
            <w:pPr>
              <w:spacing w:line="340" w:lineRule="exact"/>
              <w:jc w:val="left"/>
              <w:rPr>
                <w:rFonts w:hint="eastAsia" w:ascii="仿宋" w:hAnsi="仿宋" w:eastAsia="仿宋" w:cs="仿宋"/>
                <w:color w:val="auto"/>
                <w:szCs w:val="21"/>
              </w:rPr>
            </w:pPr>
            <w:r>
              <w:rPr>
                <w:rFonts w:hint="eastAsia" w:ascii="仿宋" w:hAnsi="仿宋" w:eastAsia="仿宋" w:cs="仿宋"/>
                <w:color w:val="auto"/>
                <w:szCs w:val="21"/>
              </w:rPr>
              <w:t>一、负责贯彻执行党和国家关于高新区的方针政策、法律法规和决策部署。二、负责研究拟定和组织实施隆回高新区重大发展战略、发展规划和工作计划。三、按照隆回县国土空间总体规划和产业发展规划要求及相关权限，负责统筹建设发展空间布局。四、负责隆回高新区招商引资工作，组织对外经济技术合作和交流。五、负责隆回高新区优化营商环境工作，根据权限依法承担有关行政审批工作，履行行政审批服务职责。六、负责隆回高新区的科技创新、高新技术产业管理和服务，开展有关科技创新服务体系和党的建设和“两新”组织党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533" w:type="dxa"/>
            <w:vMerge w:val="continue"/>
            <w:shd w:val="clear" w:color="auto" w:fill="FFFFFF"/>
            <w:noWrap w:val="0"/>
            <w:vAlign w:val="center"/>
          </w:tcPr>
          <w:p>
            <w:pPr>
              <w:widowControl/>
              <w:jc w:val="left"/>
              <w:rPr>
                <w:rFonts w:hint="eastAsia" w:ascii="仿宋" w:hAnsi="仿宋" w:eastAsia="仿宋" w:cs="仿宋"/>
                <w:color w:val="auto"/>
                <w:szCs w:val="21"/>
              </w:rPr>
            </w:pPr>
          </w:p>
        </w:tc>
        <w:tc>
          <w:tcPr>
            <w:tcW w:w="1168" w:type="dxa"/>
            <w:vMerge w:val="restart"/>
            <w:shd w:val="clear" w:color="auto" w:fill="FFFFFF" w:themeFill="background1"/>
            <w:noWrap w:val="0"/>
            <w:vAlign w:val="center"/>
          </w:tcPr>
          <w:p>
            <w:pPr>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年度收入（万元）</w:t>
            </w:r>
          </w:p>
        </w:tc>
        <w:tc>
          <w:tcPr>
            <w:tcW w:w="2372" w:type="dxa"/>
            <w:shd w:val="clear" w:color="auto" w:fill="FFFFFF" w:themeFill="background1"/>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县财政预算安排</w:t>
            </w:r>
          </w:p>
        </w:tc>
        <w:tc>
          <w:tcPr>
            <w:tcW w:w="1172" w:type="dxa"/>
            <w:gridSpan w:val="2"/>
            <w:shd w:val="clear" w:color="auto" w:fill="FFFFFF" w:themeFill="background1"/>
            <w:noWrap w:val="0"/>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8531.02</w:t>
            </w:r>
          </w:p>
        </w:tc>
        <w:tc>
          <w:tcPr>
            <w:tcW w:w="1552" w:type="dxa"/>
            <w:gridSpan w:val="2"/>
            <w:shd w:val="clear" w:color="auto" w:fill="FFFFFF" w:themeFill="background1"/>
            <w:noWrap w:val="0"/>
            <w:vAlign w:val="center"/>
          </w:tcPr>
          <w:p>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非税收入</w:t>
            </w:r>
          </w:p>
        </w:tc>
        <w:tc>
          <w:tcPr>
            <w:tcW w:w="1151" w:type="dxa"/>
            <w:gridSpan w:val="2"/>
            <w:shd w:val="clear" w:color="auto" w:fill="FFFFFF" w:themeFill="background1"/>
            <w:noWrap w:val="0"/>
            <w:vAlign w:val="top"/>
          </w:tcPr>
          <w:p>
            <w:pPr>
              <w:spacing w:line="560" w:lineRule="exact"/>
              <w:jc w:val="left"/>
              <w:rPr>
                <w:rFonts w:hint="eastAsia" w:ascii="仿宋" w:hAnsi="仿宋" w:eastAsia="仿宋" w:cs="仿宋"/>
                <w:color w:val="auto"/>
                <w:szCs w:val="21"/>
              </w:rPr>
            </w:pPr>
          </w:p>
        </w:tc>
        <w:tc>
          <w:tcPr>
            <w:tcW w:w="343" w:type="dxa"/>
            <w:vMerge w:val="restart"/>
            <w:shd w:val="clear" w:color="auto" w:fill="FFFFFF" w:themeFill="background1"/>
            <w:noWrap w:val="0"/>
            <w:vAlign w:val="center"/>
          </w:tcPr>
          <w:p>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合计</w:t>
            </w:r>
          </w:p>
        </w:tc>
        <w:tc>
          <w:tcPr>
            <w:tcW w:w="1169" w:type="dxa"/>
            <w:vMerge w:val="restart"/>
            <w:shd w:val="clear" w:color="auto" w:fill="FFFFFF" w:themeFill="background1"/>
            <w:noWrap w:val="0"/>
            <w:vAlign w:val="top"/>
          </w:tcPr>
          <w:p>
            <w:pPr>
              <w:spacing w:line="560" w:lineRule="exact"/>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18660.65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533" w:type="dxa"/>
            <w:vMerge w:val="continue"/>
            <w:shd w:val="clear" w:color="auto" w:fill="FFF8FA"/>
            <w:noWrap w:val="0"/>
            <w:vAlign w:val="center"/>
          </w:tcPr>
          <w:p>
            <w:pPr>
              <w:widowControl/>
              <w:jc w:val="left"/>
              <w:rPr>
                <w:rFonts w:hint="eastAsia" w:ascii="仿宋" w:hAnsi="仿宋" w:eastAsia="仿宋" w:cs="仿宋"/>
                <w:color w:val="auto"/>
                <w:szCs w:val="21"/>
              </w:rPr>
            </w:pPr>
          </w:p>
        </w:tc>
        <w:tc>
          <w:tcPr>
            <w:tcW w:w="1168" w:type="dxa"/>
            <w:vMerge w:val="continue"/>
            <w:shd w:val="clear" w:color="auto" w:fill="FFFFFF" w:themeFill="background1"/>
            <w:noWrap w:val="0"/>
            <w:vAlign w:val="center"/>
          </w:tcPr>
          <w:p>
            <w:pPr>
              <w:spacing w:line="240" w:lineRule="atLeast"/>
              <w:jc w:val="center"/>
              <w:rPr>
                <w:rFonts w:hint="eastAsia" w:ascii="仿宋" w:hAnsi="仿宋" w:eastAsia="仿宋" w:cs="仿宋"/>
                <w:color w:val="auto"/>
                <w:szCs w:val="21"/>
              </w:rPr>
            </w:pPr>
          </w:p>
        </w:tc>
        <w:tc>
          <w:tcPr>
            <w:tcW w:w="2372" w:type="dxa"/>
            <w:shd w:val="clear" w:color="auto" w:fill="FFFFFF" w:themeFill="background1"/>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中央省市安排资金</w:t>
            </w:r>
          </w:p>
        </w:tc>
        <w:tc>
          <w:tcPr>
            <w:tcW w:w="1172" w:type="dxa"/>
            <w:gridSpan w:val="2"/>
            <w:shd w:val="clear" w:color="auto" w:fill="FFFFFF" w:themeFill="background1"/>
            <w:noWrap w:val="0"/>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10129.63</w:t>
            </w:r>
          </w:p>
        </w:tc>
        <w:tc>
          <w:tcPr>
            <w:tcW w:w="1552" w:type="dxa"/>
            <w:gridSpan w:val="2"/>
            <w:shd w:val="clear" w:color="auto" w:fill="FFFFFF" w:themeFill="background1"/>
            <w:noWrap w:val="0"/>
            <w:vAlign w:val="center"/>
          </w:tcPr>
          <w:p>
            <w:pPr>
              <w:spacing w:line="560" w:lineRule="exact"/>
              <w:ind w:firstLine="315" w:firstLineChars="150"/>
              <w:rPr>
                <w:rFonts w:hint="eastAsia" w:ascii="仿宋" w:hAnsi="仿宋" w:eastAsia="仿宋" w:cs="仿宋"/>
                <w:color w:val="auto"/>
                <w:szCs w:val="21"/>
              </w:rPr>
            </w:pPr>
            <w:r>
              <w:rPr>
                <w:rFonts w:hint="eastAsia" w:ascii="仿宋" w:hAnsi="仿宋" w:eastAsia="仿宋" w:cs="仿宋"/>
                <w:color w:val="auto"/>
                <w:szCs w:val="21"/>
              </w:rPr>
              <w:t>其他收入</w:t>
            </w:r>
          </w:p>
        </w:tc>
        <w:tc>
          <w:tcPr>
            <w:tcW w:w="1151" w:type="dxa"/>
            <w:gridSpan w:val="2"/>
            <w:shd w:val="clear" w:color="auto" w:fill="FFFFFF" w:themeFill="background1"/>
            <w:noWrap w:val="0"/>
            <w:vAlign w:val="top"/>
          </w:tcPr>
          <w:p>
            <w:pPr>
              <w:spacing w:line="560" w:lineRule="exact"/>
              <w:jc w:val="left"/>
              <w:rPr>
                <w:rFonts w:hint="eastAsia" w:ascii="仿宋" w:hAnsi="仿宋" w:eastAsia="仿宋" w:cs="仿宋"/>
                <w:color w:val="auto"/>
                <w:szCs w:val="21"/>
              </w:rPr>
            </w:pPr>
          </w:p>
        </w:tc>
        <w:tc>
          <w:tcPr>
            <w:tcW w:w="343" w:type="dxa"/>
            <w:vMerge w:val="continue"/>
            <w:shd w:val="clear" w:color="auto" w:fill="FFFFFF" w:themeFill="background1"/>
            <w:noWrap w:val="0"/>
            <w:vAlign w:val="center"/>
          </w:tcPr>
          <w:p>
            <w:pPr>
              <w:spacing w:line="560" w:lineRule="exact"/>
              <w:jc w:val="center"/>
              <w:rPr>
                <w:rFonts w:hint="eastAsia" w:ascii="仿宋" w:hAnsi="仿宋" w:eastAsia="仿宋" w:cs="仿宋"/>
                <w:color w:val="auto"/>
                <w:szCs w:val="21"/>
              </w:rPr>
            </w:pPr>
          </w:p>
        </w:tc>
        <w:tc>
          <w:tcPr>
            <w:tcW w:w="1169" w:type="dxa"/>
            <w:vMerge w:val="continue"/>
            <w:shd w:val="clear" w:color="auto" w:fill="FFFFFF" w:themeFill="background1"/>
            <w:noWrap w:val="0"/>
            <w:vAlign w:val="top"/>
          </w:tcPr>
          <w:p>
            <w:pPr>
              <w:spacing w:line="560" w:lineRule="exact"/>
              <w:jc w:val="left"/>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533" w:type="dxa"/>
            <w:vMerge w:val="continue"/>
            <w:shd w:val="clear" w:color="auto" w:fill="FFFFFF"/>
            <w:noWrap w:val="0"/>
            <w:vAlign w:val="center"/>
          </w:tcPr>
          <w:p>
            <w:pPr>
              <w:widowControl/>
              <w:jc w:val="left"/>
              <w:rPr>
                <w:rFonts w:hint="eastAsia" w:ascii="仿宋" w:hAnsi="仿宋" w:eastAsia="仿宋" w:cs="仿宋"/>
                <w:color w:val="auto"/>
                <w:szCs w:val="21"/>
              </w:rPr>
            </w:pPr>
          </w:p>
        </w:tc>
        <w:tc>
          <w:tcPr>
            <w:tcW w:w="1168" w:type="dxa"/>
            <w:vMerge w:val="restart"/>
            <w:shd w:val="clear" w:color="auto" w:fill="FFFFFF" w:themeFill="background1"/>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年度支出</w:t>
            </w:r>
          </w:p>
          <w:p>
            <w:pPr>
              <w:jc w:val="center"/>
              <w:rPr>
                <w:rFonts w:hint="eastAsia" w:ascii="仿宋" w:hAnsi="仿宋" w:eastAsia="仿宋" w:cs="仿宋"/>
                <w:color w:val="auto"/>
                <w:szCs w:val="21"/>
              </w:rPr>
            </w:pPr>
            <w:r>
              <w:rPr>
                <w:rFonts w:hint="eastAsia" w:ascii="仿宋" w:hAnsi="仿宋" w:eastAsia="仿宋" w:cs="仿宋"/>
                <w:color w:val="auto"/>
                <w:szCs w:val="21"/>
              </w:rPr>
              <w:t>（万元）</w:t>
            </w:r>
          </w:p>
        </w:tc>
        <w:tc>
          <w:tcPr>
            <w:tcW w:w="2372" w:type="dxa"/>
            <w:shd w:val="clear" w:color="auto" w:fill="FFFFFF" w:themeFill="background1"/>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基本支出</w:t>
            </w:r>
          </w:p>
        </w:tc>
        <w:tc>
          <w:tcPr>
            <w:tcW w:w="1172" w:type="dxa"/>
            <w:gridSpan w:val="2"/>
            <w:shd w:val="clear" w:color="auto" w:fill="FFFFFF" w:themeFill="background1"/>
            <w:noWrap w:val="0"/>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558.38</w:t>
            </w:r>
          </w:p>
        </w:tc>
        <w:tc>
          <w:tcPr>
            <w:tcW w:w="1559" w:type="dxa"/>
            <w:gridSpan w:val="3"/>
            <w:vMerge w:val="restart"/>
            <w:shd w:val="clear" w:color="auto" w:fill="FFFFFF" w:themeFill="background1"/>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项目支出</w:t>
            </w:r>
          </w:p>
        </w:tc>
        <w:tc>
          <w:tcPr>
            <w:tcW w:w="1144" w:type="dxa"/>
            <w:vMerge w:val="restart"/>
            <w:shd w:val="clear" w:color="auto" w:fill="FFFFFF" w:themeFill="background1"/>
            <w:noWrap w:val="0"/>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18102.27</w:t>
            </w:r>
          </w:p>
        </w:tc>
        <w:tc>
          <w:tcPr>
            <w:tcW w:w="343" w:type="dxa"/>
            <w:vMerge w:val="restart"/>
            <w:shd w:val="clear" w:color="auto" w:fill="FFFFFF" w:themeFill="background1"/>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合计</w:t>
            </w:r>
          </w:p>
        </w:tc>
        <w:tc>
          <w:tcPr>
            <w:tcW w:w="1169" w:type="dxa"/>
            <w:vMerge w:val="restart"/>
            <w:shd w:val="clear" w:color="auto" w:fill="FFFFFF" w:themeFill="background1"/>
            <w:noWrap w:val="0"/>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18660.65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jc w:val="center"/>
        </w:trPr>
        <w:tc>
          <w:tcPr>
            <w:tcW w:w="533" w:type="dxa"/>
            <w:vMerge w:val="continue"/>
            <w:shd w:val="clear" w:color="auto" w:fill="FFF8FA"/>
            <w:noWrap w:val="0"/>
            <w:vAlign w:val="center"/>
          </w:tcPr>
          <w:p>
            <w:pPr>
              <w:widowControl/>
              <w:jc w:val="left"/>
              <w:rPr>
                <w:rFonts w:hint="eastAsia" w:ascii="仿宋" w:hAnsi="仿宋" w:eastAsia="仿宋" w:cs="仿宋"/>
                <w:color w:val="auto"/>
                <w:szCs w:val="21"/>
              </w:rPr>
            </w:pPr>
          </w:p>
        </w:tc>
        <w:tc>
          <w:tcPr>
            <w:tcW w:w="1168" w:type="dxa"/>
            <w:vMerge w:val="continue"/>
            <w:shd w:val="clear" w:color="auto" w:fill="FFFFFF" w:themeFill="background1"/>
            <w:noWrap w:val="0"/>
            <w:vAlign w:val="center"/>
          </w:tcPr>
          <w:p>
            <w:pPr>
              <w:jc w:val="center"/>
              <w:rPr>
                <w:rFonts w:hint="eastAsia" w:ascii="仿宋" w:hAnsi="仿宋" w:eastAsia="仿宋" w:cs="仿宋"/>
                <w:color w:val="auto"/>
                <w:szCs w:val="21"/>
              </w:rPr>
            </w:pPr>
          </w:p>
        </w:tc>
        <w:tc>
          <w:tcPr>
            <w:tcW w:w="2372" w:type="dxa"/>
            <w:shd w:val="clear" w:color="auto" w:fill="FFFFFF" w:themeFill="background1"/>
            <w:noWrap w:val="0"/>
            <w:tcMar>
              <w:left w:w="0" w:type="dxa"/>
              <w:right w:w="0" w:type="dxa"/>
            </w:tcMar>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其中三公经费支出</w:t>
            </w:r>
          </w:p>
        </w:tc>
        <w:tc>
          <w:tcPr>
            <w:tcW w:w="1172" w:type="dxa"/>
            <w:gridSpan w:val="2"/>
            <w:shd w:val="clear" w:color="auto" w:fill="FFFFFF" w:themeFill="background1"/>
            <w:noWrap w:val="0"/>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2.52</w:t>
            </w:r>
          </w:p>
        </w:tc>
        <w:tc>
          <w:tcPr>
            <w:tcW w:w="1559" w:type="dxa"/>
            <w:gridSpan w:val="3"/>
            <w:vMerge w:val="continue"/>
            <w:shd w:val="clear" w:color="auto" w:fill="FFFFFF" w:themeFill="background1"/>
            <w:noWrap w:val="0"/>
            <w:vAlign w:val="top"/>
          </w:tcPr>
          <w:p>
            <w:pPr>
              <w:jc w:val="center"/>
              <w:rPr>
                <w:rFonts w:hint="eastAsia" w:ascii="仿宋" w:hAnsi="仿宋" w:eastAsia="仿宋" w:cs="仿宋"/>
                <w:color w:val="auto"/>
                <w:szCs w:val="21"/>
              </w:rPr>
            </w:pPr>
          </w:p>
        </w:tc>
        <w:tc>
          <w:tcPr>
            <w:tcW w:w="1144" w:type="dxa"/>
            <w:vMerge w:val="continue"/>
            <w:shd w:val="clear" w:color="auto" w:fill="FFFFFF" w:themeFill="background1"/>
            <w:noWrap w:val="0"/>
            <w:vAlign w:val="top"/>
          </w:tcPr>
          <w:p>
            <w:pPr>
              <w:jc w:val="center"/>
              <w:rPr>
                <w:rFonts w:hint="eastAsia" w:ascii="仿宋" w:hAnsi="仿宋" w:eastAsia="仿宋" w:cs="仿宋"/>
                <w:color w:val="auto"/>
                <w:szCs w:val="21"/>
              </w:rPr>
            </w:pPr>
          </w:p>
        </w:tc>
        <w:tc>
          <w:tcPr>
            <w:tcW w:w="343" w:type="dxa"/>
            <w:vMerge w:val="continue"/>
            <w:shd w:val="clear" w:color="auto" w:fill="FFFFFF" w:themeFill="background1"/>
            <w:noWrap w:val="0"/>
            <w:vAlign w:val="center"/>
          </w:tcPr>
          <w:p>
            <w:pPr>
              <w:jc w:val="center"/>
              <w:rPr>
                <w:rFonts w:hint="eastAsia" w:ascii="仿宋" w:hAnsi="仿宋" w:eastAsia="仿宋" w:cs="仿宋"/>
                <w:color w:val="auto"/>
                <w:szCs w:val="21"/>
              </w:rPr>
            </w:pPr>
          </w:p>
        </w:tc>
        <w:tc>
          <w:tcPr>
            <w:tcW w:w="1169" w:type="dxa"/>
            <w:vMerge w:val="continue"/>
            <w:shd w:val="clear" w:color="auto" w:fill="FFFFFF" w:themeFill="background1"/>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533" w:type="dxa"/>
            <w:vMerge w:val="restart"/>
            <w:shd w:val="clear" w:color="auto" w:fill="FFFFFF"/>
            <w:noWrap w:val="0"/>
            <w:vAlign w:val="center"/>
          </w:tcPr>
          <w:p>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实施情况</w:t>
            </w:r>
          </w:p>
        </w:tc>
        <w:tc>
          <w:tcPr>
            <w:tcW w:w="1168" w:type="dxa"/>
            <w:shd w:val="clear" w:color="auto" w:fill="FFFFFF" w:themeFill="background1"/>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财政供养人员控制情况</w:t>
            </w:r>
          </w:p>
        </w:tc>
        <w:tc>
          <w:tcPr>
            <w:tcW w:w="7759" w:type="dxa"/>
            <w:gridSpan w:val="9"/>
            <w:shd w:val="clear" w:color="auto" w:fill="FFFFFF" w:themeFill="background1"/>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是否存在超编超配人员：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exact"/>
          <w:jc w:val="center"/>
        </w:trPr>
        <w:tc>
          <w:tcPr>
            <w:tcW w:w="533" w:type="dxa"/>
            <w:vMerge w:val="continue"/>
            <w:shd w:val="clear" w:color="auto" w:fill="FFF8FA"/>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三公经费管理情况</w:t>
            </w:r>
          </w:p>
        </w:tc>
        <w:tc>
          <w:tcPr>
            <w:tcW w:w="7759" w:type="dxa"/>
            <w:gridSpan w:val="9"/>
            <w:shd w:val="clear" w:color="auto" w:fill="FFFFFF" w:themeFill="background1"/>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是否制定“三公”经费管理办法：是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rPr>
              <w:t>招待费用是否明确招待标准和招待人数：是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jc w:val="left"/>
              <w:rPr>
                <w:rFonts w:hint="eastAsia" w:ascii="仿宋" w:hAnsi="仿宋" w:eastAsia="仿宋" w:cs="仿宋"/>
                <w:color w:val="auto"/>
                <w:szCs w:val="21"/>
                <w:lang w:eastAsia="zh-CN"/>
              </w:rPr>
            </w:pPr>
            <w:r>
              <w:rPr>
                <w:rFonts w:hint="eastAsia" w:ascii="仿宋" w:hAnsi="仿宋" w:eastAsia="仿宋" w:cs="仿宋"/>
                <w:color w:val="auto"/>
                <w:szCs w:val="21"/>
              </w:rPr>
              <w:t>公务用车购置运行费是否比上年度下降: 是□    否</w:t>
            </w:r>
            <w:r>
              <w:rPr>
                <w:rFonts w:hint="eastAsia" w:ascii="仿宋" w:hAnsi="仿宋" w:eastAsia="仿宋" w:cs="仿宋"/>
                <w:color w:val="auto"/>
                <w:szCs w:val="21"/>
                <w:lang w:eastAsia="zh-CN"/>
              </w:rPr>
              <w:t>☑</w:t>
            </w:r>
          </w:p>
          <w:p>
            <w:pPr>
              <w:jc w:val="left"/>
              <w:rPr>
                <w:rFonts w:hint="eastAsia" w:ascii="仿宋" w:hAnsi="仿宋" w:eastAsia="仿宋" w:cs="仿宋"/>
                <w:color w:val="auto"/>
                <w:szCs w:val="21"/>
                <w:lang w:eastAsia="zh-CN"/>
              </w:rPr>
            </w:pPr>
            <w:r>
              <w:rPr>
                <w:rFonts w:hint="eastAsia" w:ascii="仿宋" w:hAnsi="仿宋" w:eastAsia="仿宋" w:cs="仿宋"/>
                <w:color w:val="auto"/>
                <w:szCs w:val="21"/>
              </w:rPr>
              <w:t>三公经费是否比年度下降：是□  否</w:t>
            </w:r>
            <w:r>
              <w:rPr>
                <w:rFonts w:hint="eastAsia" w:ascii="仿宋" w:hAnsi="仿宋" w:eastAsia="仿宋" w:cs="仿宋"/>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exact"/>
          <w:jc w:val="center"/>
        </w:trPr>
        <w:tc>
          <w:tcPr>
            <w:tcW w:w="533" w:type="dxa"/>
            <w:vMerge w:val="continue"/>
            <w:shd w:val="clear" w:color="auto" w:fill="FFFFFF"/>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非税收入完成情况</w:t>
            </w:r>
          </w:p>
        </w:tc>
        <w:tc>
          <w:tcPr>
            <w:tcW w:w="7759" w:type="dxa"/>
            <w:gridSpan w:val="9"/>
            <w:shd w:val="clear" w:color="auto" w:fill="FFFFFF" w:themeFill="background1"/>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年度非税收入是否完成: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rPr>
              <w:t>是否实行收支两条线管理：是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lang w:eastAsia="zh-CN"/>
              </w:rPr>
            </w:pPr>
            <w:r>
              <w:rPr>
                <w:rFonts w:hint="eastAsia" w:ascii="仿宋" w:hAnsi="仿宋" w:eastAsia="仿宋" w:cs="仿宋"/>
                <w:color w:val="auto"/>
                <w:szCs w:val="21"/>
              </w:rPr>
              <w:t>有无截留、坐支、转移等现象:有□     无</w:t>
            </w:r>
            <w:r>
              <w:rPr>
                <w:rFonts w:hint="eastAsia" w:ascii="仿宋" w:hAnsi="仿宋" w:eastAsia="仿宋" w:cs="仿宋"/>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533" w:type="dxa"/>
            <w:vMerge w:val="continue"/>
            <w:shd w:val="clear" w:color="auto" w:fill="FFF8FA"/>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政府采购及金额</w:t>
            </w:r>
          </w:p>
        </w:tc>
        <w:tc>
          <w:tcPr>
            <w:tcW w:w="7759" w:type="dxa"/>
            <w:gridSpan w:val="9"/>
            <w:shd w:val="clear" w:color="auto" w:fill="FFFFFF" w:themeFill="background1"/>
            <w:noWrap w:val="0"/>
            <w:vAlign w:val="center"/>
          </w:tcPr>
          <w:p>
            <w:pPr>
              <w:spacing w:line="360" w:lineRule="exact"/>
              <w:rPr>
                <w:rFonts w:hint="eastAsia" w:ascii="仿宋" w:hAnsi="仿宋" w:eastAsia="仿宋" w:cs="仿宋"/>
                <w:color w:val="auto"/>
                <w:szCs w:val="21"/>
              </w:rPr>
            </w:pPr>
            <w:r>
              <w:rPr>
                <w:rFonts w:hint="eastAsia" w:ascii="仿宋" w:hAnsi="仿宋" w:eastAsia="仿宋" w:cs="仿宋"/>
                <w:color w:val="auto"/>
                <w:szCs w:val="21"/>
              </w:rPr>
              <w:t xml:space="preserve">年度是否制定了政府采购计划：是 </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spacing w:line="360" w:lineRule="exact"/>
              <w:rPr>
                <w:rFonts w:hint="eastAsia" w:ascii="仿宋" w:hAnsi="仿宋" w:eastAsia="仿宋" w:cs="仿宋"/>
                <w:color w:val="auto"/>
                <w:szCs w:val="21"/>
              </w:rPr>
            </w:pPr>
            <w:r>
              <w:rPr>
                <w:rFonts w:hint="eastAsia" w:ascii="仿宋" w:hAnsi="仿宋" w:eastAsia="仿宋" w:cs="仿宋"/>
                <w:color w:val="auto"/>
                <w:szCs w:val="21"/>
              </w:rPr>
              <w:t>应采购金额 　万元，实际采购金额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exact"/>
          <w:jc w:val="center"/>
        </w:trPr>
        <w:tc>
          <w:tcPr>
            <w:tcW w:w="533" w:type="dxa"/>
            <w:vMerge w:val="continue"/>
            <w:shd w:val="clear" w:color="auto" w:fill="FFFFFF"/>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预算执行</w:t>
            </w:r>
          </w:p>
        </w:tc>
        <w:tc>
          <w:tcPr>
            <w:tcW w:w="7759" w:type="dxa"/>
            <w:gridSpan w:val="9"/>
            <w:shd w:val="clear" w:color="auto" w:fill="FFFFFF" w:themeFill="background1"/>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本年度是否追加了预算:是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 追加金额</w:t>
            </w:r>
            <w:r>
              <w:rPr>
                <w:rFonts w:hint="eastAsia" w:ascii="仿宋" w:hAnsi="仿宋" w:eastAsia="仿宋" w:cs="仿宋"/>
                <w:color w:val="auto"/>
                <w:szCs w:val="21"/>
                <w:lang w:val="en-US" w:eastAsia="zh-CN"/>
              </w:rPr>
              <w:t>2.42</w:t>
            </w:r>
            <w:r>
              <w:rPr>
                <w:rFonts w:hint="eastAsia" w:ascii="仿宋" w:hAnsi="仿宋" w:eastAsia="仿宋" w:cs="仿宋"/>
                <w:color w:val="auto"/>
                <w:szCs w:val="21"/>
              </w:rPr>
              <w:t>万元</w:t>
            </w:r>
          </w:p>
          <w:p>
            <w:pPr>
              <w:rPr>
                <w:rFonts w:hint="eastAsia" w:ascii="仿宋" w:hAnsi="仿宋" w:eastAsia="仿宋" w:cs="仿宋"/>
                <w:color w:val="auto"/>
                <w:szCs w:val="21"/>
              </w:rPr>
            </w:pPr>
            <w:r>
              <w:rPr>
                <w:rFonts w:hint="eastAsia" w:ascii="仿宋" w:hAnsi="仿宋" w:eastAsia="仿宋" w:cs="仿宋"/>
                <w:color w:val="auto"/>
                <w:szCs w:val="21"/>
              </w:rPr>
              <w:t>本年度是否有结余: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r>
              <w:rPr>
                <w:rFonts w:hint="eastAsia" w:ascii="仿宋" w:hAnsi="仿宋" w:eastAsia="仿宋" w:cs="仿宋"/>
                <w:color w:val="auto"/>
                <w:szCs w:val="21"/>
                <w:lang w:eastAsia="zh-CN"/>
              </w:rPr>
              <w:t>☑</w:t>
            </w:r>
            <w:r>
              <w:rPr>
                <w:rFonts w:hint="eastAsia" w:ascii="仿宋" w:hAnsi="仿宋" w:eastAsia="仿宋" w:cs="仿宋"/>
                <w:color w:val="auto"/>
                <w:szCs w:val="21"/>
              </w:rPr>
              <w:t>,结余金额</w:t>
            </w:r>
            <w:r>
              <w:rPr>
                <w:rFonts w:hint="eastAsia" w:ascii="仿宋" w:hAnsi="仿宋" w:eastAsia="仿宋" w:cs="仿宋"/>
                <w:color w:val="auto"/>
                <w:szCs w:val="21"/>
                <w:lang w:val="en-US" w:eastAsia="zh-CN"/>
              </w:rPr>
              <w:t>0</w:t>
            </w:r>
            <w:r>
              <w:rPr>
                <w:rFonts w:hint="eastAsia" w:ascii="仿宋" w:hAnsi="仿宋" w:eastAsia="仿宋" w:cs="仿宋"/>
                <w:color w:val="auto"/>
                <w:szCs w:val="21"/>
              </w:rPr>
              <w:t>万元</w:t>
            </w:r>
          </w:p>
          <w:p>
            <w:pPr>
              <w:jc w:val="left"/>
              <w:rPr>
                <w:rFonts w:hint="eastAsia" w:ascii="仿宋" w:hAnsi="仿宋" w:eastAsia="仿宋" w:cs="仿宋"/>
                <w:color w:val="auto"/>
                <w:szCs w:val="21"/>
              </w:rPr>
            </w:pPr>
            <w:r>
              <w:rPr>
                <w:rFonts w:hint="eastAsia" w:ascii="仿宋" w:hAnsi="仿宋" w:eastAsia="仿宋" w:cs="仿宋"/>
                <w:color w:val="auto"/>
                <w:szCs w:val="21"/>
              </w:rPr>
              <w:t>预决算信息是否公开: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jc w:val="left"/>
              <w:rPr>
                <w:rFonts w:hint="eastAsia" w:ascii="仿宋" w:hAnsi="仿宋" w:eastAsia="仿宋" w:cs="仿宋"/>
                <w:color w:val="auto"/>
                <w:szCs w:val="21"/>
              </w:rPr>
            </w:pPr>
            <w:r>
              <w:rPr>
                <w:rFonts w:hint="eastAsia" w:ascii="仿宋" w:hAnsi="仿宋" w:eastAsia="仿宋" w:cs="仿宋"/>
                <w:color w:val="auto"/>
                <w:szCs w:val="21"/>
              </w:rPr>
              <w:t>公开时间:</w:t>
            </w:r>
            <w:r>
              <w:rPr>
                <w:rFonts w:hint="eastAsia" w:ascii="仿宋" w:hAnsi="仿宋" w:eastAsia="仿宋" w:cs="仿宋"/>
                <w:color w:val="auto"/>
                <w:szCs w:val="21"/>
                <w:lang w:val="en-US" w:eastAsia="zh-CN"/>
              </w:rPr>
              <w:t>2022</w:t>
            </w:r>
            <w:r>
              <w:rPr>
                <w:rFonts w:hint="eastAsia" w:ascii="仿宋" w:hAnsi="仿宋" w:eastAsia="仿宋" w:cs="仿宋"/>
                <w:color w:val="auto"/>
                <w:szCs w:val="21"/>
              </w:rPr>
              <w:t xml:space="preserve">年 </w:t>
            </w:r>
            <w:r>
              <w:rPr>
                <w:rFonts w:hint="eastAsia" w:ascii="仿宋" w:hAnsi="仿宋" w:eastAsia="仿宋" w:cs="仿宋"/>
                <w:color w:val="auto"/>
                <w:szCs w:val="21"/>
                <w:lang w:val="en-US" w:eastAsia="zh-CN"/>
              </w:rPr>
              <w:t>3</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15</w:t>
            </w:r>
            <w:r>
              <w:rPr>
                <w:rFonts w:hint="eastAsia" w:ascii="仿宋" w:hAnsi="仿宋" w:eastAsia="仿宋" w:cs="仿宋"/>
                <w:color w:val="auto"/>
                <w:szCs w:val="21"/>
              </w:rPr>
              <w:t>日</w:t>
            </w:r>
          </w:p>
          <w:p>
            <w:pPr>
              <w:jc w:val="left"/>
              <w:rPr>
                <w:rFonts w:hint="eastAsia" w:ascii="仿宋" w:hAnsi="仿宋" w:eastAsia="仿宋" w:cs="仿宋"/>
                <w:color w:val="auto"/>
                <w:szCs w:val="21"/>
              </w:rPr>
            </w:pPr>
            <w:r>
              <w:rPr>
                <w:rFonts w:hint="eastAsia" w:ascii="仿宋" w:hAnsi="仿宋" w:eastAsia="仿宋" w:cs="仿宋"/>
                <w:color w:val="auto"/>
                <w:szCs w:val="21"/>
              </w:rPr>
              <w:t>公开方式:门户网站</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单位内部□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exact"/>
          <w:jc w:val="center"/>
        </w:trPr>
        <w:tc>
          <w:tcPr>
            <w:tcW w:w="533" w:type="dxa"/>
            <w:vMerge w:val="continue"/>
            <w:shd w:val="clear" w:color="auto" w:fill="FFF8FA"/>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预算绩效管理</w:t>
            </w:r>
          </w:p>
        </w:tc>
        <w:tc>
          <w:tcPr>
            <w:tcW w:w="7759" w:type="dxa"/>
            <w:gridSpan w:val="9"/>
            <w:shd w:val="clear" w:color="auto" w:fill="FFFFFF" w:themeFill="background1"/>
            <w:noWrap w:val="0"/>
            <w:vAlign w:val="center"/>
          </w:tcPr>
          <w:p>
            <w:pPr>
              <w:rPr>
                <w:rFonts w:hint="eastAsia" w:ascii="仿宋" w:hAnsi="仿宋" w:eastAsia="仿宋" w:cs="仿宋"/>
                <w:color w:val="auto"/>
                <w:szCs w:val="21"/>
              </w:rPr>
            </w:pPr>
            <w:r>
              <w:rPr>
                <w:rFonts w:hint="eastAsia" w:ascii="仿宋" w:hAnsi="仿宋" w:eastAsia="仿宋" w:cs="仿宋"/>
                <w:color w:val="auto"/>
                <w:szCs w:val="21"/>
                <w:lang w:eastAsia="zh-CN"/>
              </w:rPr>
              <w:t>部门预算和专项资金是否编制绩效目标</w:t>
            </w:r>
            <w:r>
              <w:rPr>
                <w:rFonts w:hint="eastAsia" w:ascii="仿宋" w:hAnsi="仿宋" w:eastAsia="仿宋" w:cs="仿宋"/>
                <w:color w:val="auto"/>
                <w:szCs w:val="21"/>
                <w:lang w:val="en-US" w:eastAsia="zh-CN"/>
              </w:rPr>
              <w:t>:</w:t>
            </w:r>
            <w:r>
              <w:rPr>
                <w:rFonts w:hint="eastAsia" w:ascii="仿宋" w:hAnsi="仿宋" w:eastAsia="仿宋" w:cs="仿宋"/>
                <w:color w:val="auto"/>
                <w:szCs w:val="21"/>
              </w:rPr>
              <w:t xml:space="preserve">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lang w:val="en-US" w:eastAsia="zh-CN"/>
              </w:rPr>
              <w:t>是否开展绩效运行监控：</w:t>
            </w:r>
            <w:r>
              <w:rPr>
                <w:rFonts w:hint="eastAsia" w:ascii="仿宋" w:hAnsi="仿宋" w:eastAsia="仿宋" w:cs="仿宋"/>
                <w:color w:val="auto"/>
                <w:szCs w:val="21"/>
              </w:rPr>
              <w:t xml:space="preserve">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lang w:val="en-US" w:eastAsia="zh-CN"/>
              </w:rPr>
              <w:t>是否开展绩效评价：</w:t>
            </w:r>
            <w:r>
              <w:rPr>
                <w:rFonts w:hint="eastAsia" w:ascii="仿宋" w:hAnsi="仿宋" w:eastAsia="仿宋" w:cs="仿宋"/>
                <w:color w:val="auto"/>
                <w:szCs w:val="21"/>
              </w:rPr>
              <w:t xml:space="preserve">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lang w:val="en-US" w:eastAsia="zh-CN"/>
              </w:rPr>
              <w:t>年度绩效目标和绩效评价报告是否信息公开：</w:t>
            </w:r>
            <w:r>
              <w:rPr>
                <w:rFonts w:hint="eastAsia" w:ascii="仿宋" w:hAnsi="仿宋" w:eastAsia="仿宋" w:cs="仿宋"/>
                <w:color w:val="auto"/>
                <w:szCs w:val="21"/>
              </w:rPr>
              <w:t xml:space="preserve">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lang w:val="en-US" w:eastAsia="zh-CN"/>
              </w:rPr>
              <w:t>上年度绩效评价反馈的问题是否整改到位：</w:t>
            </w:r>
            <w:r>
              <w:rPr>
                <w:rFonts w:hint="eastAsia" w:ascii="仿宋" w:hAnsi="仿宋" w:eastAsia="仿宋" w:cs="仿宋"/>
                <w:color w:val="auto"/>
                <w:szCs w:val="21"/>
              </w:rPr>
              <w:t xml:space="preserve">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lang w:val="en-US" w:eastAsia="zh-CN"/>
              </w:rPr>
              <w:t>绩效监控发现的问题是否及时纠正：</w:t>
            </w:r>
            <w:r>
              <w:rPr>
                <w:rFonts w:hint="eastAsia" w:ascii="仿宋" w:hAnsi="仿宋" w:eastAsia="仿宋" w:cs="仿宋"/>
                <w:color w:val="auto"/>
                <w:szCs w:val="21"/>
              </w:rPr>
              <w:t xml:space="preserve">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jc w:val="left"/>
              <w:rPr>
                <w:rFonts w:hint="eastAsia" w:ascii="仿宋" w:hAnsi="仿宋" w:eastAsia="仿宋" w:cs="仿宋"/>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6" w:hRule="exact"/>
          <w:jc w:val="center"/>
        </w:trPr>
        <w:tc>
          <w:tcPr>
            <w:tcW w:w="533" w:type="dxa"/>
            <w:vMerge w:val="continue"/>
            <w:shd w:val="clear" w:color="auto" w:fill="FFFFFF"/>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240" w:lineRule="atLeast"/>
              <w:rPr>
                <w:rFonts w:hint="eastAsia" w:ascii="仿宋" w:hAnsi="仿宋" w:eastAsia="仿宋" w:cs="仿宋"/>
                <w:color w:val="auto"/>
                <w:szCs w:val="21"/>
              </w:rPr>
            </w:pPr>
            <w:r>
              <w:rPr>
                <w:rFonts w:hint="eastAsia" w:ascii="仿宋" w:hAnsi="仿宋" w:eastAsia="仿宋" w:cs="仿宋"/>
                <w:color w:val="auto"/>
                <w:szCs w:val="21"/>
              </w:rPr>
              <w:t>财务管理</w:t>
            </w:r>
          </w:p>
        </w:tc>
        <w:tc>
          <w:tcPr>
            <w:tcW w:w="7759" w:type="dxa"/>
            <w:gridSpan w:val="9"/>
            <w:shd w:val="clear" w:color="auto" w:fill="FFFFFF" w:themeFill="background1"/>
            <w:noWrap w:val="0"/>
            <w:vAlign w:val="center"/>
          </w:tcPr>
          <w:p>
            <w:pPr>
              <w:rPr>
                <w:rFonts w:hint="eastAsia" w:ascii="仿宋" w:hAnsi="仿宋" w:eastAsia="仿宋" w:cs="仿宋"/>
                <w:color w:val="auto"/>
                <w:lang w:eastAsia="zh-CN"/>
              </w:rPr>
            </w:pPr>
            <w:r>
              <w:rPr>
                <w:rFonts w:hint="eastAsia" w:ascii="仿宋" w:hAnsi="仿宋" w:eastAsia="仿宋" w:cs="仿宋"/>
                <w:color w:val="auto"/>
              </w:rPr>
              <w:t>会计机构</w:t>
            </w:r>
            <w:r>
              <w:rPr>
                <w:rFonts w:hint="eastAsia" w:ascii="仿宋" w:hAnsi="仿宋" w:eastAsia="仿宋" w:cs="仿宋"/>
                <w:color w:val="auto"/>
                <w:lang w:eastAsia="zh-CN"/>
              </w:rPr>
              <w:t>或会计人员</w:t>
            </w:r>
            <w:r>
              <w:rPr>
                <w:rFonts w:hint="eastAsia" w:ascii="仿宋" w:hAnsi="仿宋" w:eastAsia="仿宋" w:cs="仿宋"/>
                <w:color w:val="auto"/>
              </w:rPr>
              <w:t>是否按规定设置: 是</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  </w:t>
            </w:r>
            <w:r>
              <w:rPr>
                <w:rFonts w:hint="eastAsia" w:ascii="仿宋" w:hAnsi="仿宋" w:eastAsia="仿宋" w:cs="仿宋"/>
                <w:color w:val="auto"/>
              </w:rPr>
              <w:t>否□</w:t>
            </w:r>
          </w:p>
          <w:p>
            <w:pPr>
              <w:rPr>
                <w:rFonts w:hint="eastAsia" w:ascii="仿宋" w:hAnsi="仿宋" w:eastAsia="仿宋" w:cs="仿宋"/>
                <w:color w:val="auto"/>
                <w:lang w:eastAsia="zh-CN"/>
              </w:rPr>
            </w:pPr>
            <w:r>
              <w:rPr>
                <w:rFonts w:hint="eastAsia" w:ascii="仿宋" w:hAnsi="仿宋" w:eastAsia="仿宋" w:cs="仿宋"/>
                <w:color w:val="auto"/>
                <w:lang w:eastAsia="zh-CN"/>
              </w:rPr>
              <w:t>会计核算是否严格执行政府会计制度准则：</w:t>
            </w:r>
            <w:r>
              <w:rPr>
                <w:rFonts w:hint="eastAsia" w:ascii="仿宋" w:hAnsi="仿宋" w:eastAsia="仿宋" w:cs="仿宋"/>
                <w:color w:val="auto"/>
              </w:rPr>
              <w:t xml:space="preserve"> 是</w:t>
            </w:r>
            <w:r>
              <w:rPr>
                <w:rFonts w:hint="eastAsia" w:ascii="仿宋" w:hAnsi="仿宋" w:eastAsia="仿宋" w:cs="仿宋"/>
                <w:color w:val="auto"/>
                <w:lang w:eastAsia="zh-CN"/>
              </w:rPr>
              <w:t>☑</w:t>
            </w:r>
            <w:r>
              <w:rPr>
                <w:rFonts w:hint="eastAsia" w:ascii="仿宋" w:hAnsi="仿宋" w:eastAsia="仿宋" w:cs="仿宋"/>
                <w:color w:val="auto"/>
              </w:rPr>
              <w:t xml:space="preserve">    否□</w:t>
            </w:r>
          </w:p>
          <w:p>
            <w:pPr>
              <w:rPr>
                <w:rFonts w:hint="eastAsia" w:ascii="仿宋" w:hAnsi="仿宋" w:eastAsia="仿宋" w:cs="仿宋"/>
                <w:color w:val="auto"/>
              </w:rPr>
            </w:pPr>
            <w:r>
              <w:rPr>
                <w:rFonts w:hint="eastAsia" w:ascii="仿宋" w:hAnsi="仿宋" w:eastAsia="仿宋" w:cs="仿宋"/>
                <w:color w:val="auto"/>
              </w:rPr>
              <w:t>是否制定财务管理、会计核算等制度: 是</w:t>
            </w:r>
            <w:r>
              <w:rPr>
                <w:rFonts w:hint="eastAsia" w:ascii="仿宋" w:hAnsi="仿宋" w:eastAsia="仿宋" w:cs="仿宋"/>
                <w:color w:val="auto"/>
                <w:lang w:eastAsia="zh-CN"/>
              </w:rPr>
              <w:t>☑</w:t>
            </w:r>
            <w:r>
              <w:rPr>
                <w:rFonts w:hint="eastAsia" w:ascii="仿宋" w:hAnsi="仿宋" w:eastAsia="仿宋" w:cs="仿宋"/>
                <w:color w:val="auto"/>
              </w:rPr>
              <w:t xml:space="preserve">  否□</w:t>
            </w:r>
          </w:p>
          <w:p>
            <w:pPr>
              <w:rPr>
                <w:rFonts w:hint="eastAsia" w:ascii="仿宋" w:hAnsi="仿宋" w:eastAsia="仿宋" w:cs="仿宋"/>
                <w:color w:val="auto"/>
                <w:lang w:eastAsia="zh-CN"/>
              </w:rPr>
            </w:pPr>
            <w:r>
              <w:rPr>
                <w:rFonts w:hint="eastAsia" w:ascii="仿宋" w:hAnsi="仿宋" w:eastAsia="仿宋" w:cs="仿宋"/>
                <w:color w:val="auto"/>
                <w:lang w:eastAsia="zh-CN"/>
              </w:rPr>
              <w:t>内部控制报告编制是否规范：</w:t>
            </w:r>
            <w:r>
              <w:rPr>
                <w:rFonts w:hint="eastAsia" w:ascii="仿宋" w:hAnsi="仿宋" w:eastAsia="仿宋" w:cs="仿宋"/>
                <w:color w:val="auto"/>
              </w:rPr>
              <w:t>是</w:t>
            </w:r>
            <w:r>
              <w:rPr>
                <w:rFonts w:hint="eastAsia" w:ascii="仿宋" w:hAnsi="仿宋" w:eastAsia="仿宋" w:cs="仿宋"/>
                <w:color w:val="auto"/>
                <w:lang w:eastAsia="zh-CN"/>
              </w:rPr>
              <w:t>☑</w:t>
            </w:r>
            <w:r>
              <w:rPr>
                <w:rFonts w:hint="eastAsia" w:ascii="仿宋" w:hAnsi="仿宋" w:eastAsia="仿宋" w:cs="仿宋"/>
                <w:color w:val="auto"/>
                <w:lang w:val="en-US" w:eastAsia="zh-CN"/>
              </w:rPr>
              <w:t xml:space="preserve">   </w:t>
            </w:r>
            <w:r>
              <w:rPr>
                <w:rFonts w:hint="eastAsia" w:ascii="仿宋" w:hAnsi="仿宋" w:eastAsia="仿宋" w:cs="仿宋"/>
                <w:color w:val="auto"/>
              </w:rPr>
              <w:t>否□</w:t>
            </w:r>
          </w:p>
          <w:p>
            <w:pPr>
              <w:rPr>
                <w:rFonts w:hint="eastAsia" w:ascii="仿宋" w:hAnsi="仿宋" w:eastAsia="仿宋" w:cs="仿宋"/>
                <w:color w:val="auto"/>
              </w:rPr>
            </w:pPr>
            <w:r>
              <w:rPr>
                <w:rFonts w:hint="eastAsia" w:ascii="仿宋" w:hAnsi="仿宋" w:eastAsia="仿宋" w:cs="仿宋"/>
                <w:color w:val="auto"/>
              </w:rPr>
              <w:t>会计人员是否</w:t>
            </w:r>
            <w:r>
              <w:rPr>
                <w:rFonts w:hint="eastAsia" w:ascii="仿宋" w:hAnsi="仿宋" w:eastAsia="仿宋" w:cs="仿宋"/>
                <w:color w:val="auto"/>
                <w:lang w:eastAsia="zh-CN"/>
              </w:rPr>
              <w:t>具备从事会计工作所需要的专业能力</w:t>
            </w:r>
            <w:r>
              <w:rPr>
                <w:rFonts w:hint="eastAsia" w:ascii="仿宋" w:hAnsi="仿宋" w:eastAsia="仿宋" w:cs="仿宋"/>
                <w:color w:val="auto"/>
              </w:rPr>
              <w:t>: 是</w:t>
            </w:r>
            <w:r>
              <w:rPr>
                <w:rFonts w:hint="eastAsia" w:ascii="仿宋" w:hAnsi="仿宋" w:eastAsia="仿宋" w:cs="仿宋"/>
                <w:color w:val="auto"/>
                <w:lang w:eastAsia="zh-CN"/>
              </w:rPr>
              <w:t>☑</w:t>
            </w:r>
            <w:r>
              <w:rPr>
                <w:rFonts w:hint="eastAsia" w:ascii="仿宋" w:hAnsi="仿宋" w:eastAsia="仿宋" w:cs="仿宋"/>
                <w:color w:val="auto"/>
              </w:rPr>
              <w:t xml:space="preserve">  否□</w:t>
            </w:r>
          </w:p>
          <w:p>
            <w:pPr>
              <w:pStyle w:val="9"/>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533" w:type="dxa"/>
            <w:vMerge w:val="continue"/>
            <w:shd w:val="clear" w:color="auto" w:fill="FFF8FA"/>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400" w:lineRule="exact"/>
              <w:rPr>
                <w:rFonts w:hint="eastAsia" w:ascii="仿宋" w:hAnsi="仿宋" w:eastAsia="仿宋" w:cs="仿宋"/>
                <w:color w:val="auto"/>
                <w:szCs w:val="21"/>
              </w:rPr>
            </w:pPr>
            <w:r>
              <w:rPr>
                <w:rFonts w:hint="eastAsia" w:ascii="仿宋" w:hAnsi="仿宋" w:eastAsia="仿宋" w:cs="仿宋"/>
                <w:color w:val="auto"/>
                <w:szCs w:val="21"/>
              </w:rPr>
              <w:t>资金管理</w:t>
            </w:r>
          </w:p>
        </w:tc>
        <w:tc>
          <w:tcPr>
            <w:tcW w:w="7759" w:type="dxa"/>
            <w:gridSpan w:val="9"/>
            <w:shd w:val="clear" w:color="auto" w:fill="FFFFFF" w:themeFill="background1"/>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是否制定资金管理办法: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rPr>
              <w:t>资金拨付有完整的审批程序: 有</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无□</w:t>
            </w:r>
          </w:p>
          <w:p>
            <w:pPr>
              <w:ind w:left="3885" w:hanging="3885" w:hangingChars="1850"/>
              <w:rPr>
                <w:rFonts w:hint="eastAsia" w:ascii="仿宋" w:hAnsi="仿宋" w:eastAsia="仿宋" w:cs="仿宋"/>
                <w:color w:val="auto"/>
                <w:szCs w:val="21"/>
                <w:lang w:eastAsia="zh-CN"/>
              </w:rPr>
            </w:pPr>
            <w:r>
              <w:rPr>
                <w:rFonts w:hint="eastAsia" w:ascii="仿宋" w:hAnsi="仿宋" w:eastAsia="仿宋" w:cs="仿宋"/>
                <w:color w:val="auto"/>
                <w:szCs w:val="21"/>
              </w:rPr>
              <w:t>资金使用是否存在违规使用资金、乱发津补贴奖金现象：是□  否</w:t>
            </w:r>
            <w:r>
              <w:rPr>
                <w:rFonts w:hint="eastAsia" w:ascii="仿宋" w:hAnsi="仿宋" w:eastAsia="仿宋" w:cs="仿宋"/>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exact"/>
          <w:jc w:val="center"/>
        </w:trPr>
        <w:tc>
          <w:tcPr>
            <w:tcW w:w="533" w:type="dxa"/>
            <w:vMerge w:val="continue"/>
            <w:shd w:val="clear" w:color="auto" w:fill="FFFFFF"/>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240" w:lineRule="atLeast"/>
              <w:jc w:val="center"/>
              <w:rPr>
                <w:rFonts w:hint="eastAsia" w:ascii="仿宋" w:hAnsi="仿宋" w:eastAsia="仿宋" w:cs="仿宋"/>
                <w:color w:val="auto"/>
                <w:szCs w:val="21"/>
              </w:rPr>
            </w:pPr>
            <w:r>
              <w:rPr>
                <w:rFonts w:hint="eastAsia" w:ascii="仿宋" w:hAnsi="仿宋" w:eastAsia="仿宋" w:cs="仿宋"/>
                <w:color w:val="auto"/>
                <w:szCs w:val="21"/>
              </w:rPr>
              <w:t>资产管理</w:t>
            </w:r>
          </w:p>
        </w:tc>
        <w:tc>
          <w:tcPr>
            <w:tcW w:w="7759" w:type="dxa"/>
            <w:gridSpan w:val="9"/>
            <w:shd w:val="clear" w:color="auto" w:fill="FFFFFF" w:themeFill="background1"/>
            <w:noWrap w:val="0"/>
            <w:vAlign w:val="center"/>
          </w:tcPr>
          <w:p>
            <w:pPr>
              <w:rPr>
                <w:rFonts w:hint="eastAsia" w:ascii="仿宋" w:hAnsi="仿宋" w:eastAsia="仿宋" w:cs="仿宋"/>
                <w:color w:val="auto"/>
                <w:szCs w:val="21"/>
              </w:rPr>
            </w:pPr>
            <w:r>
              <w:rPr>
                <w:rFonts w:hint="eastAsia" w:ascii="仿宋" w:hAnsi="仿宋" w:eastAsia="仿宋" w:cs="仿宋"/>
                <w:color w:val="auto"/>
                <w:szCs w:val="21"/>
              </w:rPr>
              <w:t>是否制定资产管理制度: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rPr>
            </w:pPr>
            <w:r>
              <w:rPr>
                <w:rFonts w:hint="eastAsia" w:ascii="仿宋" w:hAnsi="仿宋" w:eastAsia="仿宋" w:cs="仿宋"/>
                <w:color w:val="auto"/>
                <w:szCs w:val="21"/>
              </w:rPr>
              <w:t>资产管理、保存、处置是否合理规范: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rPr>
                <w:rFonts w:hint="eastAsia" w:ascii="仿宋" w:hAnsi="仿宋" w:eastAsia="仿宋" w:cs="仿宋"/>
                <w:color w:val="auto"/>
                <w:szCs w:val="21"/>
                <w:lang w:eastAsia="zh-CN"/>
              </w:rPr>
            </w:pPr>
            <w:r>
              <w:rPr>
                <w:rFonts w:hint="eastAsia" w:ascii="仿宋" w:hAnsi="仿宋" w:eastAsia="仿宋" w:cs="仿宋"/>
                <w:color w:val="auto"/>
                <w:szCs w:val="21"/>
              </w:rPr>
              <w:t>资产是否产权清晰、两证齐全：是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r>
              <w:rPr>
                <w:rFonts w:hint="eastAsia" w:ascii="仿宋" w:hAnsi="仿宋" w:eastAsia="仿宋" w:cs="仿宋"/>
                <w:color w:val="auto"/>
                <w:szCs w:val="21"/>
                <w:lang w:eastAsia="zh-CN"/>
              </w:rPr>
              <w:t>□</w:t>
            </w:r>
          </w:p>
          <w:p>
            <w:pPr>
              <w:rPr>
                <w:rFonts w:hint="eastAsia" w:ascii="仿宋" w:hAnsi="仿宋" w:eastAsia="仿宋" w:cs="仿宋"/>
                <w:color w:val="auto"/>
                <w:szCs w:val="21"/>
              </w:rPr>
            </w:pPr>
            <w:r>
              <w:rPr>
                <w:rFonts w:hint="eastAsia" w:ascii="仿宋" w:hAnsi="仿宋" w:eastAsia="仿宋" w:cs="仿宋"/>
                <w:color w:val="auto"/>
                <w:szCs w:val="21"/>
              </w:rPr>
              <w:t>账、表、实、卡是否相符: 是</w:t>
            </w:r>
            <w:r>
              <w:rPr>
                <w:rFonts w:hint="eastAsia" w:ascii="仿宋" w:hAnsi="仿宋" w:eastAsia="仿宋" w:cs="仿宋"/>
                <w:color w:val="auto"/>
                <w:szCs w:val="21"/>
                <w:lang w:eastAsia="zh-CN"/>
              </w:rPr>
              <w:t>☑</w:t>
            </w:r>
            <w:r>
              <w:rPr>
                <w:rFonts w:hint="eastAsia" w:ascii="仿宋" w:hAnsi="仿宋" w:eastAsia="仿宋" w:cs="仿宋"/>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533" w:type="dxa"/>
            <w:vMerge w:val="continue"/>
            <w:shd w:val="clear" w:color="auto" w:fill="FFF8FA"/>
            <w:noWrap w:val="0"/>
            <w:vAlign w:val="center"/>
          </w:tcPr>
          <w:p>
            <w:pPr>
              <w:widowControl/>
              <w:jc w:val="left"/>
              <w:rPr>
                <w:rFonts w:hint="eastAsia" w:ascii="仿宋" w:hAnsi="仿宋" w:eastAsia="仿宋" w:cs="仿宋"/>
                <w:color w:val="auto"/>
                <w:szCs w:val="21"/>
              </w:rPr>
            </w:pPr>
          </w:p>
        </w:tc>
        <w:tc>
          <w:tcPr>
            <w:tcW w:w="1168" w:type="dxa"/>
            <w:shd w:val="clear" w:color="auto" w:fill="FFFFFF" w:themeFill="background1"/>
            <w:noWrap w:val="0"/>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职责履行</w:t>
            </w:r>
          </w:p>
        </w:tc>
        <w:tc>
          <w:tcPr>
            <w:tcW w:w="7759" w:type="dxa"/>
            <w:gridSpan w:val="9"/>
            <w:shd w:val="clear" w:color="auto" w:fill="FFFFFF" w:themeFill="background1"/>
            <w:noWrap w:val="0"/>
            <w:vAlign w:val="top"/>
          </w:tcPr>
          <w:p>
            <w:pPr>
              <w:spacing w:line="560" w:lineRule="exact"/>
              <w:jc w:val="left"/>
              <w:rPr>
                <w:rFonts w:hint="eastAsia" w:ascii="仿宋" w:hAnsi="仿宋" w:eastAsia="仿宋" w:cs="仿宋"/>
                <w:color w:val="auto"/>
                <w:szCs w:val="21"/>
              </w:rPr>
            </w:pPr>
            <w:r>
              <w:rPr>
                <w:rFonts w:hint="eastAsia" w:ascii="仿宋" w:hAnsi="仿宋" w:eastAsia="仿宋" w:cs="仿宋"/>
                <w:color w:val="auto"/>
                <w:szCs w:val="21"/>
              </w:rPr>
              <w:t>重点工作是否全部完成且质量达标: 是</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 否□</w:t>
            </w:r>
          </w:p>
          <w:p>
            <w:pPr>
              <w:spacing w:line="560" w:lineRule="exact"/>
              <w:jc w:val="left"/>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33" w:type="dxa"/>
            <w:shd w:val="clear" w:color="auto" w:fill="FFFFFF"/>
            <w:noWrap w:val="0"/>
            <w:vAlign w:val="center"/>
          </w:tcPr>
          <w:p>
            <w:pPr>
              <w:spacing w:line="320" w:lineRule="exact"/>
              <w:jc w:val="center"/>
              <w:rPr>
                <w:rFonts w:hint="eastAsia" w:ascii="仿宋" w:hAnsi="仿宋" w:eastAsia="仿宋" w:cs="仿宋"/>
                <w:color w:val="auto"/>
                <w:szCs w:val="21"/>
              </w:rPr>
            </w:pPr>
            <w:r>
              <w:rPr>
                <w:rFonts w:hint="eastAsia" w:ascii="仿宋" w:hAnsi="仿宋" w:eastAsia="仿宋" w:cs="仿宋"/>
                <w:color w:val="auto"/>
                <w:szCs w:val="21"/>
              </w:rPr>
              <w:t>部门</w:t>
            </w:r>
          </w:p>
          <w:p>
            <w:pPr>
              <w:spacing w:line="320" w:lineRule="exact"/>
              <w:jc w:val="center"/>
              <w:rPr>
                <w:rFonts w:hint="eastAsia" w:ascii="仿宋" w:hAnsi="仿宋" w:eastAsia="仿宋" w:cs="仿宋"/>
                <w:color w:val="auto"/>
                <w:szCs w:val="21"/>
              </w:rPr>
            </w:pPr>
            <w:r>
              <w:rPr>
                <w:rFonts w:hint="eastAsia" w:ascii="仿宋" w:hAnsi="仿宋" w:eastAsia="仿宋" w:cs="仿宋"/>
                <w:color w:val="auto"/>
                <w:szCs w:val="21"/>
              </w:rPr>
              <w:t>主要绩效</w:t>
            </w:r>
          </w:p>
        </w:tc>
        <w:tc>
          <w:tcPr>
            <w:tcW w:w="8927" w:type="dxa"/>
            <w:gridSpan w:val="10"/>
            <w:shd w:val="clear" w:color="auto" w:fill="FFFFFF" w:themeFill="background1"/>
            <w:noWrap w:val="0"/>
            <w:vAlign w:val="center"/>
          </w:tcPr>
          <w:p>
            <w:pPr>
              <w:ind w:firstLine="105" w:firstLineChars="50"/>
              <w:rPr>
                <w:rFonts w:hint="eastAsia" w:ascii="仿宋" w:hAnsi="仿宋" w:eastAsia="仿宋_GB2312" w:cs="仿宋"/>
                <w:color w:val="auto"/>
                <w:szCs w:val="21"/>
                <w:lang w:eastAsia="zh-CN"/>
              </w:rPr>
            </w:pPr>
            <w:r>
              <w:rPr>
                <w:rFonts w:hint="eastAsia" w:ascii="仿宋_GB2312" w:hAnsi="仿宋_GB2312" w:eastAsia="仿宋_GB2312" w:cs="仿宋_GB2312"/>
                <w:color w:val="auto"/>
                <w:sz w:val="21"/>
                <w:szCs w:val="21"/>
              </w:rPr>
              <w:t>技工贸总收入265.15亿元，较上年同期增长20.01%；工业总产值254.33亿元，较上年同期增长19.96 %；规模工业总产值239.76亿元，较上年同期增长15.26%；规模工业增加值60.31亿元，较上年同期增长15.1%,占全县规模工业增加值比重88.7%；高新技术产业总产值190.66亿元，占技工贸总收入的71.9%；固定资产76.2亿元，较上年同期增长16.62%；财税收入7.39亿元，较上年同期增长22.51%，亩均税金14.79万元/亩；完成招商项目43个，招商引资签约金额4</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97</w:t>
            </w:r>
            <w:r>
              <w:rPr>
                <w:rFonts w:hint="eastAsia" w:ascii="仿宋_GB2312" w:hAnsi="仿宋_GB2312" w:eastAsia="仿宋_GB2312" w:cs="仿宋_GB2312"/>
                <w:color w:val="auto"/>
                <w:sz w:val="21"/>
                <w:szCs w:val="21"/>
              </w:rPr>
              <w:t>亿元，较上年同期增长18.46 %;新增开工企业16家，新增投产企业38家；新增规模工业10家</w:t>
            </w:r>
            <w:r>
              <w:rPr>
                <w:rFonts w:hint="eastAsia" w:ascii="仿宋_GB2312" w:hAnsi="仿宋_GB2312" w:eastAsia="仿宋_GB2312" w:cs="仿宋_GB2312"/>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33" w:type="dxa"/>
            <w:shd w:val="clear" w:color="auto" w:fill="FFF8FA"/>
            <w:noWrap w:val="0"/>
            <w:vAlign w:val="center"/>
          </w:tcPr>
          <w:p>
            <w:pPr>
              <w:spacing w:line="320" w:lineRule="exact"/>
              <w:jc w:val="center"/>
              <w:rPr>
                <w:rFonts w:hint="eastAsia" w:ascii="仿宋" w:hAnsi="仿宋" w:eastAsia="仿宋" w:cs="仿宋"/>
                <w:color w:val="auto"/>
                <w:szCs w:val="21"/>
              </w:rPr>
            </w:pPr>
            <w:r>
              <w:rPr>
                <w:rFonts w:hint="eastAsia" w:ascii="仿宋" w:hAnsi="仿宋" w:eastAsia="仿宋" w:cs="仿宋"/>
                <w:color w:val="auto"/>
                <w:szCs w:val="21"/>
              </w:rPr>
              <w:t>自评结论</w:t>
            </w:r>
          </w:p>
        </w:tc>
        <w:tc>
          <w:tcPr>
            <w:tcW w:w="8927" w:type="dxa"/>
            <w:gridSpan w:val="10"/>
            <w:shd w:val="clear" w:color="auto" w:fill="FFFFFF" w:themeFill="background1"/>
            <w:noWrap w:val="0"/>
            <w:vAlign w:val="center"/>
          </w:tcPr>
          <w:p>
            <w:pPr>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33" w:type="dxa"/>
            <w:shd w:val="clear" w:color="auto" w:fill="FFFFFF"/>
            <w:noWrap w:val="0"/>
            <w:vAlign w:val="center"/>
          </w:tcPr>
          <w:p>
            <w:pPr>
              <w:spacing w:line="320" w:lineRule="exact"/>
              <w:jc w:val="center"/>
              <w:rPr>
                <w:rFonts w:hint="eastAsia" w:ascii="仿宋" w:hAnsi="仿宋" w:eastAsia="仿宋" w:cs="仿宋"/>
                <w:color w:val="auto"/>
                <w:szCs w:val="21"/>
              </w:rPr>
            </w:pPr>
            <w:r>
              <w:rPr>
                <w:rFonts w:hint="eastAsia" w:ascii="仿宋" w:hAnsi="仿宋" w:eastAsia="仿宋" w:cs="仿宋"/>
                <w:color w:val="auto"/>
                <w:szCs w:val="21"/>
              </w:rPr>
              <w:t>问题与建议</w:t>
            </w:r>
          </w:p>
        </w:tc>
        <w:tc>
          <w:tcPr>
            <w:tcW w:w="8927" w:type="dxa"/>
            <w:gridSpan w:val="10"/>
            <w:shd w:val="clear" w:color="auto" w:fill="FFFFFF"/>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 w:val="21"/>
                <w:szCs w:val="21"/>
                <w:lang w:eastAsia="zh-CN"/>
              </w:rPr>
              <w:t>县级财政加大对园区项目建设投入，缓解</w:t>
            </w:r>
            <w:bookmarkStart w:id="0" w:name="_GoBack"/>
            <w:bookmarkEnd w:id="0"/>
            <w:r>
              <w:rPr>
                <w:rFonts w:hint="eastAsia" w:ascii="仿宋" w:hAnsi="仿宋" w:eastAsia="仿宋" w:cs="仿宋"/>
                <w:color w:val="auto"/>
                <w:sz w:val="21"/>
                <w:szCs w:val="21"/>
                <w:lang w:eastAsia="zh-CN"/>
              </w:rPr>
              <w:t>资金压力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33" w:type="dxa"/>
            <w:shd w:val="clear" w:color="auto" w:fill="FFFFFF" w:themeFill="background1"/>
            <w:noWrap w:val="0"/>
            <w:vAlign w:val="top"/>
          </w:tcPr>
          <w:p>
            <w:pPr>
              <w:spacing w:line="320" w:lineRule="exact"/>
              <w:jc w:val="center"/>
              <w:rPr>
                <w:rFonts w:hint="eastAsia" w:ascii="仿宋" w:hAnsi="仿宋" w:eastAsia="仿宋" w:cs="仿宋"/>
                <w:color w:val="auto"/>
                <w:szCs w:val="21"/>
              </w:rPr>
            </w:pPr>
            <w:r>
              <w:rPr>
                <w:rFonts w:hint="eastAsia" w:ascii="仿宋" w:hAnsi="仿宋" w:eastAsia="仿宋" w:cs="仿宋"/>
                <w:color w:val="auto"/>
                <w:szCs w:val="21"/>
              </w:rPr>
              <w:t>主管部门意见</w:t>
            </w:r>
          </w:p>
        </w:tc>
        <w:tc>
          <w:tcPr>
            <w:tcW w:w="8927" w:type="dxa"/>
            <w:gridSpan w:val="10"/>
            <w:shd w:val="clear" w:color="auto" w:fill="FFFFFF" w:themeFill="background1"/>
            <w:noWrap w:val="0"/>
            <w:vAlign w:val="top"/>
          </w:tcPr>
          <w:p>
            <w:pPr>
              <w:ind w:firstLine="3360" w:firstLineChars="1600"/>
              <w:rPr>
                <w:rFonts w:hint="eastAsia" w:ascii="仿宋" w:hAnsi="仿宋" w:eastAsia="仿宋" w:cs="仿宋"/>
                <w:color w:val="auto"/>
                <w:szCs w:val="21"/>
              </w:rPr>
            </w:pPr>
          </w:p>
          <w:p>
            <w:pPr>
              <w:shd w:val="clear" w:fill="FFFFFF" w:themeFill="background1"/>
              <w:ind w:firstLine="3360" w:firstLineChars="1600"/>
              <w:rPr>
                <w:rFonts w:hint="eastAsia" w:ascii="仿宋" w:hAnsi="仿宋" w:eastAsia="仿宋" w:cs="仿宋"/>
                <w:color w:val="auto"/>
                <w:szCs w:val="21"/>
              </w:rPr>
            </w:pPr>
          </w:p>
          <w:p>
            <w:pPr>
              <w:shd w:val="clear" w:fill="FFFFFF" w:themeFill="background1"/>
              <w:ind w:firstLine="3360" w:firstLineChars="1600"/>
              <w:rPr>
                <w:rFonts w:hint="eastAsia" w:ascii="仿宋" w:hAnsi="仿宋" w:eastAsia="仿宋" w:cs="仿宋"/>
                <w:color w:val="auto"/>
                <w:szCs w:val="21"/>
              </w:rPr>
            </w:pPr>
          </w:p>
          <w:p>
            <w:pPr>
              <w:shd w:val="clear"/>
              <w:ind w:firstLine="3360" w:firstLineChars="1600"/>
              <w:rPr>
                <w:rFonts w:hint="eastAsia" w:ascii="仿宋" w:hAnsi="仿宋" w:eastAsia="仿宋" w:cs="仿宋"/>
                <w:color w:val="auto"/>
                <w:szCs w:val="21"/>
              </w:rPr>
            </w:pPr>
          </w:p>
          <w:p>
            <w:pPr>
              <w:pStyle w:val="9"/>
              <w:shd w:val="clear"/>
              <w:rPr>
                <w:rFonts w:hint="eastAsia"/>
                <w:color w:val="auto"/>
              </w:rPr>
            </w:pPr>
          </w:p>
          <w:p>
            <w:pPr>
              <w:shd w:val="clear"/>
              <w:ind w:firstLine="3360" w:firstLineChars="1600"/>
              <w:rPr>
                <w:rFonts w:hint="eastAsia" w:ascii="仿宋" w:hAnsi="仿宋" w:eastAsia="仿宋" w:cs="仿宋"/>
                <w:color w:val="auto"/>
                <w:szCs w:val="21"/>
              </w:rPr>
            </w:pPr>
            <w:r>
              <w:rPr>
                <w:rFonts w:hint="eastAsia" w:ascii="仿宋" w:hAnsi="仿宋" w:eastAsia="仿宋" w:cs="仿宋"/>
                <w:color w:val="auto"/>
                <w:szCs w:val="21"/>
              </w:rPr>
              <w:t>主管部门（盖章）：</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Cs w:val="21"/>
        </w:rPr>
      </w:pPr>
      <w:r>
        <w:rPr>
          <w:rFonts w:hint="eastAsia" w:ascii="仿宋" w:hAnsi="仿宋" w:eastAsia="仿宋" w:cs="仿宋"/>
          <w:color w:val="auto"/>
          <w:szCs w:val="21"/>
        </w:rPr>
        <w:t>填报人：</w:t>
      </w:r>
      <w:r>
        <w:rPr>
          <w:rFonts w:hint="eastAsia" w:ascii="仿宋" w:hAnsi="仿宋" w:eastAsia="仿宋" w:cs="仿宋"/>
          <w:color w:val="auto"/>
          <w:szCs w:val="21"/>
          <w:lang w:eastAsia="zh-CN"/>
        </w:rPr>
        <w:t>周陟舟</w:t>
      </w:r>
      <w:r>
        <w:rPr>
          <w:rFonts w:hint="eastAsia" w:ascii="仿宋" w:hAnsi="仿宋" w:eastAsia="仿宋" w:cs="仿宋"/>
          <w:color w:val="auto"/>
          <w:szCs w:val="21"/>
        </w:rPr>
        <w:t xml:space="preserve">              联系电话：</w:t>
      </w:r>
      <w:r>
        <w:rPr>
          <w:rFonts w:hint="eastAsia" w:ascii="仿宋" w:hAnsi="仿宋" w:eastAsia="仿宋" w:cs="仿宋"/>
          <w:color w:val="auto"/>
          <w:szCs w:val="21"/>
          <w:lang w:val="en-US" w:eastAsia="zh-CN"/>
        </w:rPr>
        <w:t>18692995219</w:t>
      </w:r>
      <w:r>
        <w:rPr>
          <w:rFonts w:hint="eastAsia" w:ascii="仿宋" w:hAnsi="仿宋" w:eastAsia="仿宋" w:cs="仿宋"/>
          <w:color w:val="auto"/>
          <w:szCs w:val="21"/>
        </w:rPr>
        <w:t xml:space="preserve">            时间：</w:t>
      </w:r>
      <w:r>
        <w:rPr>
          <w:rFonts w:hint="eastAsia" w:ascii="仿宋" w:hAnsi="仿宋" w:eastAsia="仿宋" w:cs="仿宋"/>
          <w:color w:val="auto"/>
          <w:szCs w:val="21"/>
          <w:lang w:val="en-US" w:eastAsia="zh-CN"/>
        </w:rPr>
        <w:t>2023</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5</w:t>
      </w:r>
      <w:r>
        <w:rPr>
          <w:rFonts w:hint="eastAsia" w:ascii="仿宋" w:hAnsi="仿宋" w:eastAsia="仿宋" w:cs="仿宋"/>
          <w:color w:val="auto"/>
          <w:szCs w:val="21"/>
        </w:rPr>
        <w:t xml:space="preserve">月 </w:t>
      </w:r>
      <w:r>
        <w:rPr>
          <w:rFonts w:hint="eastAsia" w:ascii="仿宋" w:hAnsi="仿宋" w:eastAsia="仿宋" w:cs="仿宋"/>
          <w:color w:val="auto"/>
          <w:szCs w:val="21"/>
          <w:lang w:val="en-US" w:eastAsia="zh-CN"/>
        </w:rPr>
        <w:t>8</w:t>
      </w:r>
      <w:r>
        <w:rPr>
          <w:rFonts w:hint="eastAsia" w:ascii="仿宋" w:hAnsi="仿宋" w:eastAsia="仿宋" w:cs="仿宋"/>
          <w:color w:val="auto"/>
          <w:szCs w:val="21"/>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rPr>
      </w:pPr>
      <w:r>
        <w:rPr>
          <w:rFonts w:hint="eastAsia" w:ascii="仿宋" w:hAnsi="仿宋" w:eastAsia="仿宋" w:cs="仿宋"/>
          <w:color w:val="auto"/>
          <w:kern w:val="0"/>
        </w:rPr>
        <w:t>注：自评结论填“优、良、中、差”。</w:t>
      </w:r>
    </w:p>
    <w:p>
      <w:pPr>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附件4</w:t>
      </w:r>
    </w:p>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pPr>
        <w:jc w:val="center"/>
        <w:rPr>
          <w:rFonts w:hint="eastAsia" w:ascii="楷体" w:hAnsi="楷体" w:eastAsia="楷体" w:cs="楷体"/>
          <w:b/>
          <w:bCs/>
          <w:sz w:val="32"/>
          <w:szCs w:val="32"/>
        </w:rPr>
      </w:pPr>
    </w:p>
    <w:p>
      <w:pPr>
        <w:ind w:firstLine="420" w:firstLineChars="20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一、部门概况</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shd w:val="clear" w:color="auto" w:fill="FFFFFF"/>
        </w:rPr>
        <w:t>隆回高新技术产业开发区（简称隆回高新区）</w:t>
      </w:r>
      <w:r>
        <w:rPr>
          <w:rFonts w:hint="eastAsia" w:ascii="仿宋" w:hAnsi="仿宋" w:eastAsia="仿宋" w:cs="仿宋"/>
          <w:sz w:val="32"/>
          <w:szCs w:val="32"/>
        </w:rPr>
        <w:t>前身为隆回工业集中区（隆回县工业经济开发区），</w:t>
      </w:r>
      <w:r>
        <w:rPr>
          <w:rFonts w:hint="eastAsia" w:ascii="仿宋" w:hAnsi="仿宋" w:eastAsia="仿宋" w:cs="仿宋"/>
          <w:color w:val="000000"/>
          <w:sz w:val="32"/>
          <w:szCs w:val="32"/>
        </w:rPr>
        <w:t>成立于2005年8月</w:t>
      </w:r>
      <w:r>
        <w:rPr>
          <w:rFonts w:hint="eastAsia" w:ascii="仿宋" w:hAnsi="仿宋" w:eastAsia="仿宋" w:cs="仿宋"/>
          <w:color w:val="000000"/>
          <w:sz w:val="32"/>
          <w:szCs w:val="32"/>
          <w:lang w:eastAsia="zh-CN"/>
        </w:rPr>
        <w:t>。</w:t>
      </w:r>
      <w:r>
        <w:rPr>
          <w:rFonts w:hint="eastAsia" w:ascii="仿宋" w:hAnsi="仿宋" w:eastAsia="仿宋" w:cs="仿宋"/>
          <w:sz w:val="32"/>
          <w:szCs w:val="32"/>
          <w:shd w:val="clear" w:color="auto" w:fill="FFFFFF"/>
        </w:rPr>
        <w:t>2018年1月，经湖南省人民政府批准为省级高新技术产业开发区。</w:t>
      </w:r>
      <w:r>
        <w:rPr>
          <w:rFonts w:hint="eastAsia" w:ascii="仿宋" w:hAnsi="仿宋" w:eastAsia="仿宋" w:cs="仿宋"/>
          <w:sz w:val="32"/>
          <w:szCs w:val="32"/>
        </w:rPr>
        <w:t>先后获得了“省第一批中小企业信用体系建设示范园区”、“省新型工业化产业示范基地”、“省创新创业带动就业示范基地”、“省第一批绿色园区”和“省双创示范基地”等荣誉称号。202</w:t>
      </w:r>
      <w:r>
        <w:rPr>
          <w:rFonts w:hint="eastAsia" w:ascii="仿宋" w:hAnsi="仿宋" w:eastAsia="仿宋" w:cs="仿宋"/>
          <w:sz w:val="32"/>
          <w:szCs w:val="32"/>
          <w:lang w:val="en-US" w:eastAsia="zh-CN"/>
        </w:rPr>
        <w:t>0年、</w:t>
      </w:r>
      <w:r>
        <w:rPr>
          <w:rFonts w:hint="eastAsia" w:ascii="仿宋" w:hAnsi="仿宋" w:eastAsia="仿宋" w:cs="仿宋"/>
          <w:sz w:val="32"/>
          <w:szCs w:val="32"/>
        </w:rPr>
        <w:t>2021年</w:t>
      </w:r>
      <w:r>
        <w:rPr>
          <w:rFonts w:hint="eastAsia" w:ascii="仿宋" w:hAnsi="仿宋" w:eastAsia="仿宋" w:cs="仿宋"/>
          <w:sz w:val="32"/>
          <w:szCs w:val="32"/>
          <w:lang w:eastAsia="zh-CN"/>
        </w:rPr>
        <w:t>荣获</w:t>
      </w:r>
      <w:r>
        <w:rPr>
          <w:rFonts w:hint="eastAsia" w:ascii="仿宋" w:hAnsi="仿宋" w:eastAsia="仿宋" w:cs="仿宋"/>
          <w:sz w:val="32"/>
          <w:szCs w:val="32"/>
        </w:rPr>
        <w:t>全省“五好”园区创建工作先进单位</w:t>
      </w:r>
      <w:r>
        <w:rPr>
          <w:rFonts w:hint="eastAsia" w:ascii="仿宋" w:hAnsi="仿宋" w:eastAsia="仿宋" w:cs="仿宋"/>
          <w:sz w:val="32"/>
          <w:szCs w:val="32"/>
          <w:lang w:eastAsia="zh-CN"/>
        </w:rPr>
        <w:t>。</w:t>
      </w:r>
      <w:r>
        <w:rPr>
          <w:rFonts w:hint="eastAsia" w:ascii="仿宋" w:hAnsi="仿宋" w:eastAsia="仿宋" w:cs="仿宋"/>
          <w:sz w:val="32"/>
          <w:szCs w:val="32"/>
        </w:rPr>
        <w:t>2019年、2020年,隆回高新区蝉联“湖南省园区产业高质量发展园区”，为全市唯一获此殊荣的省级园区。2020年被评为全市湘南湘西承接产业转移示范区建设暨产业发展先进单位。</w:t>
      </w:r>
      <w:r>
        <w:rPr>
          <w:rFonts w:hint="eastAsia" w:ascii="仿宋" w:hAnsi="仿宋" w:eastAsia="仿宋" w:cs="仿宋"/>
          <w:sz w:val="32"/>
          <w:szCs w:val="32"/>
          <w:highlight w:val="none"/>
          <w:lang w:eastAsia="zh-CN"/>
        </w:rPr>
        <w:t>隆回高新区党工委、管委会分别为中共邵阳市委、邵阳市人民政府派出机构，副处级，委托中共隆回县委、隆回县人民政府管理，实行合署办公，一套机构。</w:t>
      </w:r>
      <w:r>
        <w:rPr>
          <w:rFonts w:hint="eastAsia" w:ascii="仿宋" w:hAnsi="仿宋" w:eastAsia="仿宋" w:cs="仿宋"/>
          <w:sz w:val="32"/>
          <w:szCs w:val="32"/>
          <w:highlight w:val="none"/>
        </w:rPr>
        <w:t>隆回高新区由“一区三园”</w:t>
      </w:r>
      <w:r>
        <w:rPr>
          <w:rFonts w:hint="eastAsia" w:ascii="仿宋" w:hAnsi="仿宋" w:eastAsia="仿宋" w:cs="仿宋"/>
          <w:sz w:val="32"/>
          <w:szCs w:val="32"/>
          <w:highlight w:val="none"/>
          <w:lang w:eastAsia="zh-CN"/>
        </w:rPr>
        <w:t>组成</w:t>
      </w:r>
      <w:r>
        <w:rPr>
          <w:rFonts w:hint="eastAsia" w:ascii="仿宋" w:hAnsi="仿宋" w:eastAsia="仿宋" w:cs="仿宋"/>
          <w:sz w:val="32"/>
          <w:szCs w:val="32"/>
          <w:highlight w:val="none"/>
        </w:rPr>
        <w:t>，“一区”即隆回高新区，“</w:t>
      </w:r>
      <w:r>
        <w:rPr>
          <w:rFonts w:hint="eastAsia" w:ascii="仿宋" w:hAnsi="仿宋" w:eastAsia="仿宋" w:cs="仿宋"/>
          <w:sz w:val="32"/>
          <w:szCs w:val="32"/>
        </w:rPr>
        <w:t>三园”即城东南轻工智能制造园、城南大健康生物医药园</w:t>
      </w:r>
      <w:r>
        <w:rPr>
          <w:rFonts w:hint="eastAsia" w:ascii="仿宋" w:hAnsi="仿宋" w:eastAsia="仿宋" w:cs="仿宋"/>
          <w:sz w:val="32"/>
          <w:szCs w:val="32"/>
          <w:lang w:eastAsia="zh-CN"/>
        </w:rPr>
        <w:t>和</w:t>
      </w:r>
      <w:r>
        <w:rPr>
          <w:rFonts w:hint="eastAsia" w:ascii="仿宋" w:hAnsi="仿宋" w:eastAsia="仿宋" w:cs="仿宋"/>
          <w:sz w:val="32"/>
          <w:szCs w:val="32"/>
        </w:rPr>
        <w:t>三阁司现代电子产业园。</w:t>
      </w:r>
    </w:p>
    <w:p>
      <w:pPr>
        <w:pStyle w:val="9"/>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年的重点工作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kern w:val="2"/>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1.筑牢园区平台强支撑。</w:t>
      </w:r>
      <w:r>
        <w:rPr>
          <w:rFonts w:hint="eastAsia" w:ascii="仿宋" w:hAnsi="仿宋" w:eastAsia="仿宋" w:cs="仿宋"/>
          <w:b w:val="0"/>
          <w:bCs w:val="0"/>
          <w:color w:val="000000"/>
          <w:kern w:val="0"/>
          <w:sz w:val="32"/>
          <w:szCs w:val="32"/>
          <w:lang w:val="en-US" w:eastAsia="zh-CN" w:bidi="ar"/>
        </w:rPr>
        <w:t>园区要提高竞争力，核心是要建好各类平台，完善各类要素，提升综合承载能力</w:t>
      </w:r>
      <w:r>
        <w:rPr>
          <w:rFonts w:hint="eastAsia" w:ascii="仿宋" w:hAnsi="仿宋" w:eastAsia="仿宋" w:cs="仿宋"/>
          <w:b/>
          <w:bCs/>
          <w:color w:val="000000"/>
          <w:kern w:val="0"/>
          <w:sz w:val="32"/>
          <w:szCs w:val="32"/>
          <w:lang w:val="en-US" w:eastAsia="zh-CN" w:bidi="ar"/>
        </w:rPr>
        <w:t>。</w:t>
      </w:r>
      <w:r>
        <w:rPr>
          <w:rFonts w:hint="eastAsia" w:ascii="仿宋" w:hAnsi="仿宋" w:eastAsia="仿宋" w:cs="仿宋"/>
          <w:b/>
          <w:bCs/>
          <w:sz w:val="32"/>
          <w:szCs w:val="32"/>
        </w:rPr>
        <w:t>一要</w:t>
      </w:r>
      <w:r>
        <w:rPr>
          <w:rFonts w:hint="eastAsia" w:ascii="仿宋" w:hAnsi="仿宋" w:eastAsia="仿宋" w:cs="仿宋"/>
          <w:b w:val="0"/>
          <w:bCs w:val="0"/>
          <w:sz w:val="32"/>
          <w:szCs w:val="32"/>
        </w:rPr>
        <w:t>加快</w:t>
      </w:r>
      <w:r>
        <w:rPr>
          <w:rFonts w:hint="eastAsia" w:ascii="仿宋" w:hAnsi="仿宋" w:eastAsia="仿宋" w:cs="仿宋"/>
          <w:b w:val="0"/>
          <w:bCs w:val="0"/>
          <w:sz w:val="32"/>
          <w:szCs w:val="32"/>
          <w:lang w:eastAsia="zh-CN"/>
        </w:rPr>
        <w:t>园区</w:t>
      </w:r>
      <w:r>
        <w:rPr>
          <w:rFonts w:hint="eastAsia" w:ascii="仿宋" w:hAnsi="仿宋" w:eastAsia="仿宋" w:cs="仿宋"/>
          <w:b w:val="0"/>
          <w:bCs w:val="0"/>
          <w:sz w:val="32"/>
          <w:szCs w:val="32"/>
        </w:rPr>
        <w:t>征地拆迁工作力度。做好麂山桥安置区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支路九、工业路北端的拆迁工作，拆除房屋</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3座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确保支路九、工业路北</w:t>
      </w:r>
      <w:r>
        <w:rPr>
          <w:rFonts w:hint="eastAsia" w:ascii="仿宋" w:hAnsi="仿宋" w:eastAsia="仿宋" w:cs="仿宋"/>
          <w:b w:val="0"/>
          <w:bCs w:val="0"/>
          <w:sz w:val="32"/>
          <w:szCs w:val="32"/>
          <w:lang w:eastAsia="zh-CN"/>
        </w:rPr>
        <w:t>段</w:t>
      </w:r>
      <w:r>
        <w:rPr>
          <w:rFonts w:hint="eastAsia" w:ascii="仿宋" w:hAnsi="仿宋" w:eastAsia="仿宋" w:cs="仿宋"/>
          <w:b w:val="0"/>
          <w:bCs w:val="0"/>
          <w:sz w:val="32"/>
          <w:szCs w:val="32"/>
        </w:rPr>
        <w:t>顺利开工。督促江边安置区如期完工，做好安置</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宅基地分配工作，督促桃野里安置区基础建设开工</w:t>
      </w:r>
      <w:r>
        <w:rPr>
          <w:rFonts w:hint="eastAsia" w:ascii="仿宋" w:hAnsi="仿宋" w:eastAsia="仿宋" w:cs="仿宋"/>
          <w:b w:val="0"/>
          <w:bCs w:val="0"/>
          <w:sz w:val="32"/>
          <w:szCs w:val="32"/>
          <w:lang w:eastAsia="zh-CN"/>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要</w:t>
      </w:r>
      <w:r>
        <w:rPr>
          <w:rFonts w:hint="eastAsia" w:ascii="仿宋" w:hAnsi="仿宋" w:eastAsia="仿宋" w:cs="仿宋"/>
          <w:b w:val="0"/>
          <w:bCs w:val="0"/>
          <w:sz w:val="32"/>
          <w:szCs w:val="32"/>
          <w:lang w:eastAsia="zh-CN"/>
        </w:rPr>
        <w:t>进一步</w:t>
      </w:r>
      <w:r>
        <w:rPr>
          <w:rFonts w:hint="eastAsia" w:ascii="仿宋" w:hAnsi="仿宋" w:eastAsia="仿宋" w:cs="仿宋"/>
          <w:b w:val="0"/>
          <w:bCs w:val="0"/>
          <w:sz w:val="32"/>
          <w:szCs w:val="32"/>
        </w:rPr>
        <w:t>完善园区基础设施</w:t>
      </w:r>
      <w:r>
        <w:rPr>
          <w:rFonts w:hint="eastAsia" w:ascii="仿宋" w:hAnsi="仿宋" w:eastAsia="仿宋" w:cs="仿宋"/>
          <w:b w:val="0"/>
          <w:bCs w:val="0"/>
          <w:sz w:val="32"/>
          <w:szCs w:val="32"/>
          <w:lang w:eastAsia="zh-CN"/>
        </w:rPr>
        <w:t>建设</w:t>
      </w:r>
      <w:r>
        <w:rPr>
          <w:rFonts w:hint="eastAsia" w:ascii="仿宋" w:hAnsi="仿宋" w:eastAsia="仿宋" w:cs="仿宋"/>
          <w:b w:val="0"/>
          <w:bCs w:val="0"/>
          <w:sz w:val="32"/>
          <w:szCs w:val="32"/>
        </w:rPr>
        <w:t>。倒排工期，全力以赴抢时间、赶进度，</w:t>
      </w:r>
      <w:r>
        <w:rPr>
          <w:rFonts w:hint="eastAsia" w:ascii="仿宋" w:hAnsi="仿宋" w:eastAsia="仿宋" w:cs="仿宋"/>
          <w:b w:val="0"/>
          <w:bCs w:val="0"/>
          <w:sz w:val="32"/>
          <w:szCs w:val="32"/>
          <w:lang w:eastAsia="zh-CN"/>
        </w:rPr>
        <w:t>加快推进</w:t>
      </w:r>
      <w:r>
        <w:rPr>
          <w:rFonts w:hint="eastAsia" w:ascii="仿宋" w:hAnsi="仿宋" w:eastAsia="仿宋" w:cs="仿宋"/>
          <w:b w:val="0"/>
          <w:bCs w:val="0"/>
          <w:sz w:val="32"/>
          <w:szCs w:val="32"/>
        </w:rPr>
        <w:t>滨江路北段、支路十、支路十四、次干路二道路</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江边安置区道路、麂山桥安置区场平、塘石边的工</w:t>
      </w:r>
      <w:r>
        <w:rPr>
          <w:rFonts w:hint="eastAsia" w:ascii="仿宋" w:hAnsi="仿宋" w:eastAsia="仿宋" w:cs="仿宋"/>
          <w:b w:val="0"/>
          <w:bCs w:val="0"/>
          <w:sz w:val="32"/>
          <w:szCs w:val="32"/>
          <w:lang w:eastAsia="zh-CN"/>
        </w:rPr>
        <w:t>程</w:t>
      </w:r>
      <w:r>
        <w:rPr>
          <w:rFonts w:hint="eastAsia" w:ascii="仿宋" w:hAnsi="仿宋" w:eastAsia="仿宋" w:cs="仿宋"/>
          <w:b w:val="0"/>
          <w:bCs w:val="0"/>
          <w:sz w:val="32"/>
          <w:szCs w:val="32"/>
        </w:rPr>
        <w:t>建设</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加强对工业路北段、支路九EPC工程的施工管理，并完成土路基20%，排水排污20%</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kern w:val="0"/>
          <w:sz w:val="32"/>
          <w:szCs w:val="32"/>
          <w:lang w:val="en-US" w:eastAsia="zh-CN" w:bidi="ar"/>
        </w:rPr>
        <w:t>加大推进电力、燃气、供热、供水、通信、道路、消防、人防、防汛、治污等基础设施建设，为园区发展蓄势赋能；</w:t>
      </w:r>
      <w:r>
        <w:rPr>
          <w:rFonts w:hint="eastAsia" w:ascii="仿宋" w:hAnsi="仿宋" w:eastAsia="仿宋" w:cs="仿宋"/>
          <w:b/>
          <w:bCs/>
          <w:color w:val="000000"/>
          <w:kern w:val="0"/>
          <w:sz w:val="32"/>
          <w:szCs w:val="32"/>
          <w:lang w:val="en-US" w:eastAsia="zh-CN" w:bidi="ar"/>
        </w:rPr>
        <w:t>三要</w:t>
      </w:r>
      <w:r>
        <w:rPr>
          <w:rFonts w:hint="eastAsia" w:ascii="仿宋" w:hAnsi="仿宋" w:eastAsia="仿宋" w:cs="仿宋"/>
          <w:b w:val="0"/>
          <w:bCs w:val="0"/>
          <w:color w:val="000000"/>
          <w:kern w:val="0"/>
          <w:sz w:val="32"/>
          <w:szCs w:val="32"/>
          <w:lang w:val="en-US" w:eastAsia="zh-CN" w:bidi="ar"/>
        </w:rPr>
        <w:t>保障土地供给。落实征拆政策，规范征拆程序，加快征拆进程，降低征拆成本。加大土地储备力度，破解项目等地困境。全力搞好高新区剩余工业用地、塘石边安置区、麂山桥安置区等地块共计400多亩的土地报批工作，加强对园区三类土地的清理处置力度，推动低效土地二次开发，确保园区批而未供土地、闲置土地、低效（空闲）用地处置率分别达到80%、100%、70%以上；</w:t>
      </w:r>
      <w:r>
        <w:rPr>
          <w:rFonts w:hint="eastAsia" w:ascii="仿宋" w:hAnsi="仿宋" w:eastAsia="仿宋" w:cs="仿宋"/>
          <w:b/>
          <w:bCs/>
          <w:color w:val="000000"/>
          <w:kern w:val="0"/>
          <w:sz w:val="32"/>
          <w:szCs w:val="32"/>
          <w:lang w:val="en-US" w:eastAsia="zh-CN" w:bidi="ar"/>
        </w:rPr>
        <w:t>四</w:t>
      </w:r>
      <w:r>
        <w:rPr>
          <w:rFonts w:hint="eastAsia" w:ascii="仿宋" w:hAnsi="仿宋" w:eastAsia="仿宋" w:cs="仿宋"/>
          <w:b/>
          <w:bCs/>
          <w:sz w:val="32"/>
          <w:szCs w:val="32"/>
        </w:rPr>
        <w:t>要</w:t>
      </w:r>
      <w:r>
        <w:rPr>
          <w:rFonts w:hint="eastAsia" w:ascii="仿宋" w:hAnsi="仿宋" w:eastAsia="仿宋" w:cs="仿宋"/>
          <w:b w:val="0"/>
          <w:bCs w:val="0"/>
          <w:sz w:val="32"/>
          <w:szCs w:val="32"/>
        </w:rPr>
        <w:t>扎实搞好园区融资工作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进一步拓宽融资渠道</w:t>
      </w:r>
      <w:r>
        <w:rPr>
          <w:rFonts w:hint="eastAsia" w:ascii="仿宋" w:hAnsi="仿宋" w:eastAsia="仿宋" w:cs="仿宋"/>
          <w:b w:val="0"/>
          <w:bCs w:val="0"/>
          <w:sz w:val="32"/>
          <w:szCs w:val="32"/>
          <w:lang w:eastAsia="zh-CN"/>
        </w:rPr>
        <w:t>，加强与农业发展银行、农业银行、华融湘江银行、长沙银行</w:t>
      </w:r>
      <w:r>
        <w:rPr>
          <w:rFonts w:hint="eastAsia" w:ascii="仿宋" w:hAnsi="仿宋" w:eastAsia="仿宋" w:cs="仿宋"/>
          <w:b w:val="0"/>
          <w:bCs w:val="0"/>
          <w:sz w:val="32"/>
          <w:szCs w:val="32"/>
        </w:rPr>
        <w:t>等金融机构的对接，做好2023年政府专项债券</w:t>
      </w:r>
      <w:r>
        <w:rPr>
          <w:rFonts w:hint="eastAsia" w:ascii="仿宋" w:hAnsi="仿宋" w:eastAsia="仿宋" w:cs="仿宋"/>
          <w:b w:val="0"/>
          <w:bCs w:val="0"/>
          <w:sz w:val="32"/>
          <w:szCs w:val="32"/>
          <w:lang w:eastAsia="zh-CN"/>
        </w:rPr>
        <w:t>和企业债券发行的有关工作；</w:t>
      </w:r>
      <w:r>
        <w:rPr>
          <w:rFonts w:hint="eastAsia" w:ascii="仿宋" w:hAnsi="仿宋" w:eastAsia="仿宋" w:cs="仿宋"/>
          <w:b/>
          <w:bCs/>
          <w:sz w:val="32"/>
          <w:szCs w:val="32"/>
          <w:lang w:eastAsia="zh-CN"/>
        </w:rPr>
        <w:t>五</w:t>
      </w:r>
      <w:r>
        <w:rPr>
          <w:rFonts w:hint="eastAsia" w:ascii="仿宋" w:hAnsi="仿宋" w:eastAsia="仿宋" w:cs="仿宋"/>
          <w:b/>
          <w:bCs/>
          <w:color w:val="000000"/>
          <w:kern w:val="0"/>
          <w:sz w:val="32"/>
          <w:szCs w:val="32"/>
          <w:lang w:val="en-US" w:eastAsia="zh-CN" w:bidi="ar"/>
        </w:rPr>
        <w:t>要</w:t>
      </w:r>
      <w:r>
        <w:rPr>
          <w:rFonts w:hint="eastAsia" w:ascii="仿宋" w:hAnsi="仿宋" w:eastAsia="仿宋" w:cs="仿宋"/>
          <w:b w:val="0"/>
          <w:bCs w:val="0"/>
          <w:color w:val="000000"/>
          <w:kern w:val="0"/>
          <w:sz w:val="32"/>
          <w:szCs w:val="32"/>
          <w:lang w:val="en-US" w:eastAsia="zh-CN" w:bidi="ar"/>
        </w:rPr>
        <w:t>强化人才支撑。全面落实魏源人才行动计划，健全柔性引才机制，完善人才政策保障，让人才引得进、留得住。推动职业学校校与园区开展“园校共建”，建立实训基地，开展定向培训，打造园区人才引进和劳动力招聘平台，促进群众就业需求与企业用工需求紧密衔接；</w:t>
      </w:r>
      <w:r>
        <w:rPr>
          <w:rFonts w:hint="eastAsia" w:ascii="仿宋" w:hAnsi="仿宋" w:eastAsia="仿宋" w:cs="仿宋"/>
          <w:b/>
          <w:bCs/>
          <w:color w:val="000000"/>
          <w:kern w:val="0"/>
          <w:sz w:val="32"/>
          <w:szCs w:val="32"/>
          <w:lang w:val="en-US" w:eastAsia="zh-CN" w:bidi="ar"/>
        </w:rPr>
        <w:t>六</w:t>
      </w:r>
      <w:r>
        <w:rPr>
          <w:rFonts w:hint="eastAsia" w:ascii="仿宋" w:hAnsi="仿宋" w:eastAsia="仿宋" w:cs="仿宋"/>
          <w:b/>
          <w:bCs/>
          <w:color w:val="auto"/>
          <w:kern w:val="0"/>
          <w:sz w:val="32"/>
          <w:szCs w:val="32"/>
          <w:lang w:val="en-US" w:eastAsia="zh-CN" w:bidi="ar"/>
        </w:rPr>
        <w:t>要</w:t>
      </w:r>
      <w:r>
        <w:rPr>
          <w:rFonts w:hint="eastAsia" w:ascii="仿宋" w:hAnsi="仿宋" w:eastAsia="仿宋" w:cs="仿宋"/>
          <w:b w:val="0"/>
          <w:bCs w:val="0"/>
          <w:color w:val="auto"/>
          <w:kern w:val="0"/>
          <w:sz w:val="32"/>
          <w:szCs w:val="32"/>
          <w:lang w:val="en-US" w:eastAsia="zh-CN" w:bidi="ar"/>
        </w:rPr>
        <w:t>实施好园区污染第三方治理，确保园区环境治理达标，</w:t>
      </w:r>
      <w:r>
        <w:rPr>
          <w:rFonts w:hint="eastAsia" w:ascii="仿宋" w:hAnsi="仿宋" w:eastAsia="仿宋" w:cs="仿宋"/>
          <w:color w:val="auto"/>
          <w:kern w:val="2"/>
          <w:sz w:val="32"/>
          <w:szCs w:val="32"/>
          <w:lang w:val="en-US" w:eastAsia="zh-CN" w:bidi="ar-SA"/>
        </w:rPr>
        <w:t>建设运营好高新区智慧平台，为园区高质量发展创造条件。</w:t>
      </w: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lang w:val="en-US" w:eastAsia="zh-CN"/>
        </w:rPr>
        <w:t>2.精准招商引资增动力。</w:t>
      </w: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要</w:t>
      </w:r>
      <w:r>
        <w:rPr>
          <w:rFonts w:hint="eastAsia" w:ascii="仿宋_GB2312" w:hAnsi="仿宋_GB2312" w:eastAsia="仿宋_GB2312" w:cs="仿宋_GB2312"/>
          <w:b w:val="0"/>
          <w:bCs w:val="0"/>
          <w:sz w:val="32"/>
          <w:szCs w:val="32"/>
        </w:rPr>
        <w:t>利用现有闲置厂房，做好存量工作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积极做好园区内闲置厂房二次招商工作，鼓励客商租赁入驻，积极配合箱包产业园、高尔夫产业链项目招商招租工作，与优质租赁企业签订招商协议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要</w:t>
      </w:r>
      <w:r>
        <w:rPr>
          <w:rFonts w:hint="eastAsia" w:ascii="仿宋_GB2312" w:hAnsi="仿宋_GB2312" w:eastAsia="仿宋_GB2312" w:cs="仿宋_GB2312"/>
          <w:b w:val="0"/>
          <w:bCs w:val="0"/>
          <w:sz w:val="32"/>
          <w:szCs w:val="32"/>
        </w:rPr>
        <w:t>做好以商招商，对接好异地商会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采取“走出去”和“请进来”的工作方式，围绕“迎老乡、回故乡、建家乡”这根主线，密切加强与各地商会、企业家的沟通与联系，充分利用其客户资源优势，积极拓展上下游空间，形成走出去招商、引进来共赢的良好局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lang w:eastAsia="zh-CN"/>
        </w:rPr>
        <w:t>三要</w:t>
      </w:r>
      <w:r>
        <w:rPr>
          <w:rFonts w:hint="eastAsia" w:ascii="仿宋_GB2312" w:hAnsi="仿宋_GB2312" w:eastAsia="仿宋_GB2312" w:cs="仿宋_GB2312"/>
          <w:b w:val="0"/>
          <w:bCs w:val="0"/>
          <w:sz w:val="32"/>
          <w:szCs w:val="32"/>
        </w:rPr>
        <w:t>做好小分队精准出击，推进招商引资工作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重点跟踪光电产业链项目、高尔夫配套产业链项目、CNC数控机床产业项目、真空镀膜设备项目、箱包生产基地、数控机床项目、庭院灯项目，争取庭院灯项目、绿色装配式建筑项目早日落地。</w:t>
      </w:r>
    </w:p>
    <w:p>
      <w:pPr>
        <w:pStyle w:val="4"/>
        <w:keepNext w:val="0"/>
        <w:keepLines w:val="0"/>
        <w:pageBreakBefore w:val="0"/>
        <w:widowControl/>
        <w:numPr>
          <w:ilvl w:val="0"/>
          <w:numId w:val="0"/>
        </w:numPr>
        <w:suppressLineNumbers w:val="0"/>
        <w:shd w:val="clear" w:color="auto" w:fill="F8F8F8"/>
        <w:kinsoku/>
        <w:wordWrap/>
        <w:overflowPunct/>
        <w:topLinePunct w:val="0"/>
        <w:autoSpaceDE/>
        <w:autoSpaceDN/>
        <w:bidi w:val="0"/>
        <w:adjustRightInd/>
        <w:snapToGrid w:val="0"/>
        <w:spacing w:before="0" w:beforeAutospacing="0" w:after="0" w:afterAutospacing="0" w:line="54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2"/>
          <w:lang w:val="en-US" w:eastAsia="zh-CN"/>
        </w:rPr>
        <w:t>3.抓好项目建设提实力。</w:t>
      </w:r>
      <w:r>
        <w:rPr>
          <w:rFonts w:hint="eastAsia" w:ascii="仿宋_GB2312" w:hAnsi="仿宋_GB2312" w:eastAsia="仿宋_GB2312" w:cs="仿宋_GB2312"/>
          <w:b w:val="0"/>
          <w:bCs w:val="0"/>
          <w:color w:val="000000"/>
          <w:kern w:val="0"/>
          <w:sz w:val="32"/>
          <w:szCs w:val="32"/>
          <w:lang w:val="en-US" w:eastAsia="zh-CN"/>
        </w:rPr>
        <w:t>项目是产业的载体，要始终牵住项目建设这个牛鼻子。</w:t>
      </w:r>
      <w:r>
        <w:rPr>
          <w:rFonts w:hint="eastAsia" w:ascii="仿宋_GB2312" w:hAnsi="仿宋_GB2312" w:eastAsia="仿宋_GB2312" w:cs="仿宋_GB2312"/>
          <w:b/>
          <w:bCs/>
          <w:sz w:val="32"/>
          <w:szCs w:val="32"/>
          <w:lang w:val="en-US" w:eastAsia="zh-CN"/>
        </w:rPr>
        <w:t>一要</w:t>
      </w:r>
      <w:r>
        <w:rPr>
          <w:rFonts w:hint="eastAsia" w:ascii="仿宋_GB2312" w:hAnsi="仿宋_GB2312" w:eastAsia="仿宋_GB2312" w:cs="仿宋_GB2312"/>
          <w:b w:val="0"/>
          <w:bCs w:val="0"/>
          <w:sz w:val="32"/>
          <w:szCs w:val="32"/>
          <w:lang w:val="en-US" w:eastAsia="zh-CN"/>
        </w:rPr>
        <w:t>强化项目主体责任，督促宝庆农产品道地药材产业园建设项目、湖南辰河新型建筑材料设备基地建设项目、</w:t>
      </w:r>
      <w:r>
        <w:rPr>
          <w:rFonts w:hint="eastAsia" w:ascii="仿宋_GB2312" w:hAnsi="仿宋_GB2312" w:eastAsia="仿宋_GB2312" w:cs="仿宋_GB2312"/>
          <w:b w:val="0"/>
          <w:bCs w:val="0"/>
          <w:i w:val="0"/>
          <w:caps w:val="0"/>
          <w:color w:val="000000"/>
          <w:spacing w:val="0"/>
          <w:w w:val="100"/>
          <w:sz w:val="32"/>
          <w:szCs w:val="32"/>
          <w:lang w:val="en-US" w:eastAsia="zh-CN"/>
        </w:rPr>
        <w:t>三珍农产品、隆回县乡村三级物流体系及阿里易购电商综合服务平台建设项目、</w:t>
      </w:r>
      <w:r>
        <w:rPr>
          <w:rFonts w:hint="eastAsia" w:ascii="仿宋_GB2312" w:hAnsi="仿宋_GB2312" w:eastAsia="仿宋_GB2312" w:cs="仿宋_GB2312"/>
          <w:b w:val="0"/>
          <w:bCs w:val="0"/>
          <w:sz w:val="32"/>
          <w:szCs w:val="32"/>
          <w:lang w:val="en-US" w:eastAsia="zh-CN"/>
        </w:rPr>
        <w:t>隆回国际箱包工业园建设项目、金莞产业园内7个在建项目等13个续建项目尽快建成投产；</w:t>
      </w:r>
      <w:r>
        <w:rPr>
          <w:rFonts w:hint="eastAsia" w:ascii="仿宋_GB2312" w:hAnsi="仿宋_GB2312" w:eastAsia="仿宋_GB2312" w:cs="仿宋_GB2312"/>
          <w:b/>
          <w:bCs/>
          <w:sz w:val="32"/>
          <w:szCs w:val="32"/>
          <w:lang w:val="en-US" w:eastAsia="zh-CN"/>
        </w:rPr>
        <w:t>二要</w:t>
      </w:r>
      <w:r>
        <w:rPr>
          <w:rFonts w:hint="eastAsia" w:ascii="仿宋_GB2312" w:hAnsi="仿宋_GB2312" w:eastAsia="仿宋_GB2312" w:cs="仿宋_GB2312"/>
          <w:b w:val="0"/>
          <w:bCs w:val="0"/>
          <w:sz w:val="32"/>
          <w:szCs w:val="32"/>
          <w:lang w:val="en-US" w:eastAsia="zh-CN"/>
        </w:rPr>
        <w:t>督促湖南锯利智能装备有限公司</w:t>
      </w:r>
      <w:r>
        <w:rPr>
          <w:rFonts w:hint="eastAsia" w:ascii="仿宋_GB2312" w:hAnsi="仿宋_GB2312" w:eastAsia="仿宋_GB2312" w:cs="仿宋_GB2312"/>
          <w:b w:val="0"/>
          <w:bCs w:val="0"/>
          <w:i w:val="0"/>
          <w:caps w:val="0"/>
          <w:color w:val="000000"/>
          <w:spacing w:val="0"/>
          <w:w w:val="100"/>
          <w:sz w:val="32"/>
          <w:szCs w:val="32"/>
          <w:lang w:val="en-US" w:eastAsia="zh-CN"/>
        </w:rPr>
        <w:t>塑胶制品液压</w:t>
      </w:r>
      <w:r>
        <w:rPr>
          <w:rFonts w:hint="eastAsia" w:ascii="仿宋_GB2312" w:hAnsi="仿宋_GB2312" w:eastAsia="仿宋_GB2312" w:cs="仿宋_GB2312"/>
          <w:b w:val="0"/>
          <w:i w:val="0"/>
          <w:caps w:val="0"/>
          <w:color w:val="000000"/>
          <w:spacing w:val="0"/>
          <w:w w:val="100"/>
          <w:sz w:val="32"/>
          <w:szCs w:val="32"/>
          <w:lang w:val="en-US" w:eastAsia="zh-CN"/>
        </w:rPr>
        <w:t>机生产基地项目、广州源临医疗器械有限公司一次性医疗器械耗材项目、清远市赛稳塑胶科技有限公司塑胶、胶粘复合材料生产项目、隆回润达科技有限公司机械设备零配件生产基地建设项目、湖南金海塑胶管业有限公司塑胶制品管材管件及竹木纤维装饰材料生产项目等12个新建尽快开工建设</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rPr>
        <w:t>4.加快体制创新强活力。</w:t>
      </w:r>
      <w:r>
        <w:rPr>
          <w:rFonts w:hint="eastAsia" w:ascii="仿宋_GB2312" w:hAnsi="仿宋_GB2312" w:eastAsia="仿宋_GB2312" w:cs="仿宋_GB2312"/>
          <w:b w:val="0"/>
          <w:bCs w:val="0"/>
          <w:color w:val="000000"/>
          <w:kern w:val="0"/>
          <w:sz w:val="32"/>
          <w:szCs w:val="32"/>
          <w:lang w:val="en-US" w:eastAsia="zh-CN" w:bidi="ar"/>
        </w:rPr>
        <w:t>要持续改革创新，破除体制障碍，激发园区动力活力。</w:t>
      </w:r>
      <w:r>
        <w:rPr>
          <w:rFonts w:hint="eastAsia" w:ascii="仿宋_GB2312" w:hAnsi="仿宋_GB2312" w:eastAsia="仿宋_GB2312" w:cs="仿宋_GB2312"/>
          <w:b/>
          <w:bCs/>
          <w:color w:val="000000"/>
          <w:kern w:val="0"/>
          <w:sz w:val="32"/>
          <w:szCs w:val="32"/>
          <w:lang w:val="en-US" w:eastAsia="zh-CN" w:bidi="ar"/>
        </w:rPr>
        <w:t>一要</w:t>
      </w:r>
      <w:r>
        <w:rPr>
          <w:rFonts w:hint="eastAsia" w:ascii="仿宋_GB2312" w:hAnsi="仿宋_GB2312" w:eastAsia="仿宋_GB2312" w:cs="仿宋_GB2312"/>
          <w:b w:val="0"/>
          <w:bCs w:val="0"/>
          <w:color w:val="000000"/>
          <w:kern w:val="0"/>
          <w:sz w:val="32"/>
          <w:szCs w:val="32"/>
          <w:lang w:val="en-US" w:eastAsia="zh-CN" w:bidi="ar"/>
        </w:rPr>
        <w:t>建立现代化管理体制。深化园区扩权赋能，推动“园区事项园区办结”。鼓励园区推进身份档案、人员聘任、竞争上岗、末位淘汰等制度改革，建立能上能下、能进能出的用人机制；</w:t>
      </w:r>
      <w:r>
        <w:rPr>
          <w:rFonts w:hint="eastAsia" w:ascii="仿宋_GB2312" w:hAnsi="仿宋_GB2312" w:eastAsia="仿宋_GB2312" w:cs="仿宋_GB2312"/>
          <w:b/>
          <w:bCs/>
          <w:color w:val="000000"/>
          <w:kern w:val="0"/>
          <w:sz w:val="32"/>
          <w:szCs w:val="32"/>
          <w:lang w:val="en-US" w:eastAsia="zh-CN" w:bidi="ar"/>
        </w:rPr>
        <w:t>二要</w:t>
      </w:r>
      <w:r>
        <w:rPr>
          <w:rFonts w:hint="eastAsia" w:ascii="仿宋_GB2312" w:hAnsi="仿宋_GB2312" w:eastAsia="仿宋_GB2312" w:cs="仿宋_GB2312"/>
          <w:b w:val="0"/>
          <w:bCs w:val="0"/>
          <w:color w:val="000000"/>
          <w:kern w:val="0"/>
          <w:sz w:val="32"/>
          <w:szCs w:val="32"/>
          <w:lang w:val="en-US" w:eastAsia="zh-CN" w:bidi="ar"/>
        </w:rPr>
        <w:t>建立科学化激励机制。健全以创新能力、质量、实效、贡献为导向的人才评价体系，优化以绩效为中心、多元化的分配制度，让“干好干坏就是不一样”成为鲜明导向；</w:t>
      </w:r>
      <w:r>
        <w:rPr>
          <w:rFonts w:hint="eastAsia" w:ascii="仿宋_GB2312" w:hAnsi="仿宋_GB2312" w:eastAsia="仿宋_GB2312" w:cs="仿宋_GB2312"/>
          <w:b/>
          <w:bCs/>
          <w:color w:val="000000"/>
          <w:kern w:val="0"/>
          <w:sz w:val="32"/>
          <w:szCs w:val="32"/>
          <w:lang w:val="en-US" w:eastAsia="zh-CN" w:bidi="ar"/>
        </w:rPr>
        <w:t>三要</w:t>
      </w:r>
      <w:r>
        <w:rPr>
          <w:rFonts w:hint="eastAsia" w:ascii="仿宋_GB2312" w:hAnsi="仿宋_GB2312" w:eastAsia="仿宋_GB2312" w:cs="仿宋_GB2312"/>
          <w:b w:val="0"/>
          <w:bCs w:val="0"/>
          <w:color w:val="000000"/>
          <w:kern w:val="0"/>
          <w:sz w:val="32"/>
          <w:szCs w:val="32"/>
          <w:lang w:val="en-US" w:eastAsia="zh-CN" w:bidi="ar"/>
        </w:rPr>
        <w:t>建立市场化投营机制。探索将园区建设、运营、服务等事项通过政府购买服务、委托外包等方式交由市场承担，推动园区平台公司市场化转型，鼓励社会资本参与园区公共服务、基础设施类项目建设，在现有园区中投资建设、运营特色产业园；</w:t>
      </w:r>
      <w:r>
        <w:rPr>
          <w:rFonts w:hint="eastAsia" w:ascii="仿宋_GB2312" w:hAnsi="仿宋_GB2312" w:eastAsia="仿宋_GB2312" w:cs="仿宋_GB2312"/>
          <w:b/>
          <w:bCs/>
          <w:color w:val="000000"/>
          <w:kern w:val="0"/>
          <w:sz w:val="32"/>
          <w:szCs w:val="32"/>
          <w:lang w:val="en-US" w:eastAsia="zh-CN" w:bidi="ar"/>
        </w:rPr>
        <w:t>四要</w:t>
      </w:r>
      <w:r>
        <w:rPr>
          <w:rFonts w:hint="eastAsia" w:ascii="仿宋_GB2312" w:hAnsi="仿宋_GB2312" w:eastAsia="仿宋_GB2312" w:cs="仿宋_GB2312"/>
          <w:b w:val="0"/>
          <w:bCs w:val="0"/>
          <w:color w:val="000000"/>
          <w:kern w:val="0"/>
          <w:sz w:val="32"/>
          <w:szCs w:val="32"/>
          <w:lang w:val="en-US" w:eastAsia="zh-CN" w:bidi="ar"/>
        </w:rPr>
        <w:t>快速推进“五好”园区建设。扎实抓好园区党建、疫情防控和乡村振兴工作，认真开展园区企业安全生产隐患排查治理，全力创建平安园区。</w:t>
      </w:r>
    </w:p>
    <w:p>
      <w:pPr>
        <w:pStyle w:val="16"/>
        <w:keepNext w:val="0"/>
        <w:keepLines w:val="0"/>
        <w:pageBreakBefore w:val="0"/>
        <w:shd w:val="clear" w:color="auto" w:fill="FFFFFF"/>
        <w:kinsoku/>
        <w:wordWrap/>
        <w:overflowPunct/>
        <w:topLinePunct w:val="0"/>
        <w:autoSpaceDE/>
        <w:autoSpaceDN/>
        <w:bidi w:val="0"/>
        <w:adjustRightInd/>
        <w:spacing w:before="0" w:beforeAutospacing="0" w:after="0" w:afterAutospacing="0" w:line="540" w:lineRule="exact"/>
        <w:ind w:firstLine="634"/>
        <w:textAlignment w:val="center"/>
        <w:rPr>
          <w:rFonts w:hint="eastAsia"/>
        </w:rPr>
      </w:pPr>
      <w:r>
        <w:rPr>
          <w:rFonts w:hint="eastAsia" w:ascii="楷体_GB2312" w:hAnsi="楷体_GB2312" w:eastAsia="楷体_GB2312" w:cs="楷体_GB2312"/>
          <w:b/>
          <w:bCs/>
          <w:color w:val="000000"/>
          <w:kern w:val="0"/>
          <w:sz w:val="32"/>
          <w:szCs w:val="32"/>
          <w:lang w:val="en-US" w:eastAsia="zh-CN"/>
        </w:rPr>
        <w:t>5.优化营商环境树形象。</w:t>
      </w:r>
      <w:r>
        <w:rPr>
          <w:rFonts w:hint="eastAsia" w:ascii="仿宋_GB2312" w:hAnsi="仿宋_GB2312" w:eastAsia="仿宋_GB2312" w:cs="仿宋_GB2312"/>
          <w:b/>
          <w:bCs/>
          <w:color w:val="000000"/>
          <w:kern w:val="0"/>
          <w:sz w:val="32"/>
          <w:szCs w:val="32"/>
          <w:lang w:val="en-US" w:eastAsia="zh-CN" w:bidi="ar"/>
        </w:rPr>
        <w:t>一要</w:t>
      </w:r>
      <w:r>
        <w:rPr>
          <w:rFonts w:hint="eastAsia" w:ascii="仿宋_GB2312" w:hAnsi="仿宋_GB2312" w:eastAsia="仿宋_GB2312" w:cs="仿宋_GB2312"/>
          <w:b w:val="0"/>
          <w:bCs w:val="0"/>
          <w:color w:val="000000"/>
          <w:kern w:val="0"/>
          <w:sz w:val="32"/>
          <w:szCs w:val="32"/>
          <w:lang w:val="en-US" w:eastAsia="zh-CN" w:bidi="ar"/>
        </w:rPr>
        <w:t>抓政策落实，打造诚信园区。编制企业优惠政策落实清单，推进各项优惠政策落地，坚持“有求必应，无事不扰”，努力打造一流营商环境；</w:t>
      </w:r>
      <w:r>
        <w:rPr>
          <w:rFonts w:hint="eastAsia" w:ascii="仿宋_GB2312" w:hAnsi="仿宋_GB2312" w:eastAsia="仿宋_GB2312" w:cs="仿宋_GB2312"/>
          <w:b/>
          <w:bCs/>
          <w:color w:val="000000"/>
          <w:kern w:val="0"/>
          <w:sz w:val="32"/>
          <w:szCs w:val="32"/>
          <w:lang w:val="en-US" w:eastAsia="zh-CN" w:bidi="ar"/>
        </w:rPr>
        <w:t>二要</w:t>
      </w:r>
      <w:r>
        <w:rPr>
          <w:rFonts w:hint="eastAsia" w:ascii="仿宋_GB2312" w:hAnsi="仿宋_GB2312" w:eastAsia="仿宋_GB2312" w:cs="仿宋_GB2312"/>
          <w:b w:val="0"/>
          <w:bCs w:val="0"/>
          <w:color w:val="000000"/>
          <w:kern w:val="0"/>
          <w:sz w:val="32"/>
          <w:szCs w:val="32"/>
          <w:lang w:val="en-US" w:eastAsia="zh-CN" w:bidi="ar"/>
        </w:rPr>
        <w:t>抓政务改革，打造高效园区。深化“放管服”改革，优化“互联网+”政务服务，深化“一件事一次办”，实现“园区事园区办”；</w:t>
      </w:r>
      <w:r>
        <w:rPr>
          <w:rFonts w:hint="eastAsia" w:ascii="仿宋_GB2312" w:hAnsi="仿宋_GB2312" w:eastAsia="仿宋_GB2312" w:cs="仿宋_GB2312"/>
          <w:b/>
          <w:bCs/>
          <w:color w:val="000000"/>
          <w:kern w:val="0"/>
          <w:sz w:val="32"/>
          <w:szCs w:val="32"/>
          <w:lang w:val="en-US" w:eastAsia="zh-CN" w:bidi="ar"/>
        </w:rPr>
        <w:t>三要</w:t>
      </w:r>
      <w:r>
        <w:rPr>
          <w:rFonts w:hint="eastAsia" w:ascii="仿宋_GB2312" w:hAnsi="仿宋_GB2312" w:eastAsia="仿宋_GB2312" w:cs="仿宋_GB2312"/>
          <w:b w:val="0"/>
          <w:bCs w:val="0"/>
          <w:color w:val="000000"/>
          <w:kern w:val="0"/>
          <w:sz w:val="32"/>
          <w:szCs w:val="32"/>
          <w:lang w:val="en-US" w:eastAsia="zh-CN" w:bidi="ar"/>
        </w:rPr>
        <w:t>抓优质服务，打造“清亲”园区。落实健全容错纠错机制，激励园区干部把全部心思放在干事创业上。围绕工程建设、招商引资、服务审批、征地拆迁等重点环节加强监管，提升园区廉洁度、公信度和企业满意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部门整体支出情况</w:t>
      </w:r>
    </w:p>
    <w:p>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2022年全年收入18660.65万元，县级安排资金</w:t>
      </w:r>
      <w:r>
        <w:rPr>
          <w:rFonts w:hint="eastAsia" w:ascii="仿宋" w:hAnsi="仿宋" w:eastAsia="仿宋" w:cs="仿宋"/>
          <w:color w:val="000000"/>
          <w:sz w:val="32"/>
          <w:szCs w:val="32"/>
          <w:lang w:val="en-US" w:eastAsia="zh-CN"/>
        </w:rPr>
        <w:t>8531.02</w:t>
      </w:r>
      <w:r>
        <w:rPr>
          <w:rFonts w:hint="eastAsia" w:ascii="仿宋" w:hAnsi="仿宋" w:eastAsia="仿宋" w:cs="仿宋"/>
          <w:sz w:val="32"/>
          <w:szCs w:val="32"/>
          <w:lang w:val="en-US" w:eastAsia="zh-CN"/>
        </w:rPr>
        <w:t>万元,中央省市安排资金</w:t>
      </w:r>
      <w:r>
        <w:rPr>
          <w:rFonts w:hint="eastAsia" w:ascii="仿宋" w:hAnsi="仿宋" w:eastAsia="仿宋" w:cs="仿宋"/>
          <w:color w:val="000000"/>
          <w:sz w:val="32"/>
          <w:szCs w:val="32"/>
          <w:lang w:val="en-US" w:eastAsia="zh-CN"/>
        </w:rPr>
        <w:t>10129.63</w:t>
      </w:r>
      <w:r>
        <w:rPr>
          <w:rFonts w:hint="eastAsia" w:ascii="仿宋" w:hAnsi="仿宋" w:eastAsia="仿宋" w:cs="仿宋"/>
          <w:sz w:val="32"/>
          <w:szCs w:val="32"/>
          <w:lang w:val="en-US" w:eastAsia="zh-CN"/>
        </w:rPr>
        <w:t>万元。全年支出18660.65万元，基本支出558.38万元，项目支出18102.27万元。</w:t>
      </w:r>
    </w:p>
    <w:p>
      <w:pPr>
        <w:pStyle w:val="2"/>
        <w:numPr>
          <w:numId w:val="0"/>
        </w:numPr>
        <w:rPr>
          <w:rFonts w:hint="eastAsia" w:ascii="仿宋" w:hAnsi="仿宋" w:eastAsia="仿宋" w:cs="仿宋"/>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部门整体支出管理及使用情况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pPr>
        <w:pStyle w:val="9"/>
        <w:ind w:left="0" w:leftChars="0" w:firstLine="640" w:firstLineChars="200"/>
        <w:rPr>
          <w:rFonts w:hint="eastAsia" w:ascii="仿宋_GB2312" w:hAnsi="宋体" w:eastAsia="仿宋_GB2312" w:cs="仿宋_GB2312"/>
          <w:sz w:val="32"/>
          <w:szCs w:val="32"/>
          <w:lang w:eastAsia="zh-CN"/>
        </w:rPr>
      </w:pPr>
      <w:r>
        <w:rPr>
          <w:rFonts w:hint="eastAsia" w:eastAsia="仿宋_GB2312"/>
          <w:lang w:eastAsia="zh-CN"/>
        </w:rPr>
        <w:t>公共预算财政拨款基本支出</w:t>
      </w:r>
      <w:r>
        <w:rPr>
          <w:rFonts w:hint="eastAsia" w:ascii="仿宋" w:hAnsi="仿宋" w:eastAsia="仿宋" w:cs="仿宋"/>
          <w:szCs w:val="21"/>
          <w:lang w:val="en-US" w:eastAsia="zh-CN"/>
        </w:rPr>
        <w:t>558.38</w:t>
      </w:r>
      <w:r>
        <w:rPr>
          <w:rFonts w:hint="eastAsia" w:eastAsia="仿宋_GB2312"/>
          <w:lang w:val="en-US" w:eastAsia="zh-CN"/>
        </w:rPr>
        <w:t>万元，</w:t>
      </w:r>
      <w:r>
        <w:rPr>
          <w:rFonts w:hint="eastAsia" w:ascii="仿宋_GB2312" w:hAnsi="宋体" w:eastAsia="仿宋_GB2312" w:cs="仿宋_GB2312"/>
          <w:sz w:val="32"/>
          <w:szCs w:val="32"/>
        </w:rPr>
        <w:t>是指为保障单位机构正常运转、完成日常工作任务而发生的各项支出，包括用于基本工资、津贴补贴等人员经费以及办公费、印刷费、水电费及办公设备购置等日常公用经费</w:t>
      </w:r>
      <w:r>
        <w:rPr>
          <w:rFonts w:hint="eastAsia" w:ascii="仿宋_GB2312" w:hAnsi="宋体" w:eastAsia="仿宋_GB2312" w:cs="仿宋_GB2312"/>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项目支出情况</w:t>
      </w:r>
    </w:p>
    <w:p>
      <w:pPr>
        <w:pStyle w:val="9"/>
        <w:rPr>
          <w:rFonts w:hint="eastAsia"/>
        </w:rPr>
      </w:pPr>
      <w:r>
        <w:rPr>
          <w:rFonts w:hint="eastAsia" w:ascii="仿宋_GB2312" w:hAnsi="宋体" w:eastAsia="仿宋_GB2312" w:cs="仿宋_GB2312"/>
          <w:sz w:val="32"/>
          <w:szCs w:val="32"/>
          <w:lang w:val="en-US" w:eastAsia="zh-CN"/>
        </w:rPr>
        <w:t>2022年项目支出决算数为</w:t>
      </w:r>
      <w:r>
        <w:rPr>
          <w:rFonts w:hint="eastAsia" w:ascii="仿宋" w:hAnsi="仿宋" w:eastAsia="仿宋" w:cs="仿宋"/>
          <w:szCs w:val="21"/>
          <w:lang w:val="en-US" w:eastAsia="zh-CN"/>
        </w:rPr>
        <w:t>18102.27</w:t>
      </w:r>
      <w:r>
        <w:rPr>
          <w:rFonts w:hint="eastAsia" w:ascii="仿宋_GB2312" w:hAnsi="宋体" w:eastAsia="仿宋_GB2312" w:cs="仿宋_GB2312"/>
          <w:sz w:val="32"/>
          <w:szCs w:val="32"/>
          <w:lang w:val="en-US" w:eastAsia="zh-CN"/>
        </w:rPr>
        <w:t>万元，主要用于园区基础设施建设。</w:t>
      </w:r>
    </w:p>
    <w:p>
      <w:pPr>
        <w:keepNext w:val="0"/>
        <w:keepLines w:val="0"/>
        <w:pageBreakBefore w:val="0"/>
        <w:widowControl w:val="0"/>
        <w:numPr>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“三公”经费情况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2022年预算“三公”经费2万元，决算数为2.52万元。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eastAsia="仿宋_GB2312"/>
          <w:sz w:val="32"/>
          <w:szCs w:val="32"/>
          <w:lang w:val="en-US" w:eastAsia="zh-CN"/>
        </w:rPr>
        <w:t>2022年我单位人员没有因公出国（境）。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公务接待费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2022年我单位公务接待费（含商务接待费） 2.52万元。</w:t>
      </w:r>
    </w:p>
    <w:p>
      <w:pPr>
        <w:pStyle w:val="9"/>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公务用车购置及运行费</w:t>
      </w:r>
    </w:p>
    <w:p>
      <w:pPr>
        <w:pStyle w:val="9"/>
        <w:numPr>
          <w:ilvl w:val="0"/>
          <w:numId w:val="0"/>
        </w:numPr>
        <w:ind w:firstLine="640" w:firstLineChars="200"/>
        <w:rPr>
          <w:rFonts w:hint="eastAsia" w:ascii="仿宋" w:hAnsi="仿宋" w:eastAsia="仿宋" w:cs="仿宋"/>
          <w:lang w:val="en-US" w:eastAsia="zh-CN"/>
        </w:rPr>
      </w:pPr>
      <w:r>
        <w:rPr>
          <w:rFonts w:hint="default" w:ascii="Times New Roman" w:hAnsi="Times New Roman" w:eastAsia="仿宋" w:cs="Times New Roman"/>
          <w:b w:val="0"/>
          <w:bCs w:val="0"/>
          <w:lang w:val="en-US" w:eastAsia="zh-CN"/>
        </w:rPr>
        <w:t>2022</w:t>
      </w:r>
      <w:r>
        <w:rPr>
          <w:rFonts w:hint="eastAsia" w:ascii="仿宋" w:hAnsi="仿宋" w:eastAsia="仿宋" w:cs="仿宋"/>
          <w:lang w:val="en-US" w:eastAsia="zh-CN"/>
        </w:rPr>
        <w:t>年我单位没有公务用车费。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部门整体支出绩效情况</w:t>
      </w:r>
    </w:p>
    <w:p>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工贸总收入265.15亿元，较上年同期增长20.01%；工业总产值254.33亿元，较上年同期增长19.96 %；规模工业总产值239.76亿元，较上年同期增长15.26%；规模工业增加值60.31亿元，较上年同期增长15.1%,占全县规模工业增加值比重88.7%；高新技术产业总产值190.66亿元，占技工贸总收入的71.9%；固定资产76.2亿元，较上年同期增长16.62%；财税收入7.39亿元，较上年同期增长22.51%，亩均税金14.79万元/亩；完成招商项目43个，招商引资签约金额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亿元，较上年同期增长18.46 %;新增开工企业16家，新增投产企业38家；新增规模工业10家</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b/>
          <w:bCs/>
          <w:sz w:val="32"/>
          <w:szCs w:val="32"/>
        </w:rPr>
      </w:pPr>
      <w:r>
        <w:rPr>
          <w:rFonts w:hint="eastAsia" w:ascii="仿宋_GB2312" w:hAnsi="仿宋_GB2312" w:eastAsia="仿宋_GB2312" w:cs="仿宋_GB2312"/>
          <w:color w:val="000000"/>
          <w:sz w:val="32"/>
          <w:szCs w:val="32"/>
          <w:shd w:val="clear" w:color="auto" w:fill="auto"/>
          <w:lang w:eastAsia="zh-CN"/>
        </w:rPr>
        <w:t>一是园区财政压力大，融资渠道有待进一步拓宽。二是</w:t>
      </w:r>
      <w:r>
        <w:rPr>
          <w:rFonts w:hint="eastAsia" w:ascii="仿宋_GB2312" w:hAnsi="仿宋_GB2312" w:eastAsia="仿宋_GB2312" w:cs="仿宋_GB2312"/>
          <w:color w:val="000000"/>
          <w:sz w:val="32"/>
          <w:szCs w:val="32"/>
          <w:shd w:val="clear" w:color="auto" w:fill="auto"/>
        </w:rPr>
        <w:t>隆回高新区建设和发展受生产要素和产业政策等因素的影响，面临征地批地难、工程建设与征地拆迁衔接不够等问题。</w:t>
      </w:r>
      <w:r>
        <w:rPr>
          <w:rFonts w:hint="eastAsia" w:ascii="仿宋_GB2312" w:hAnsi="仿宋_GB2312" w:eastAsia="仿宋_GB2312" w:cs="仿宋_GB2312"/>
          <w:color w:val="000000"/>
          <w:sz w:val="32"/>
          <w:szCs w:val="32"/>
          <w:shd w:val="clear" w:color="auto" w:fill="auto"/>
          <w:lang w:eastAsia="zh-CN"/>
        </w:rPr>
        <w:t>三是</w:t>
      </w:r>
      <w:r>
        <w:rPr>
          <w:rFonts w:hint="eastAsia" w:ascii="仿宋_GB2312" w:hAnsi="仿宋_GB2312" w:eastAsia="仿宋_GB2312" w:cs="仿宋_GB2312"/>
          <w:bCs/>
          <w:color w:val="000000"/>
          <w:sz w:val="32"/>
          <w:szCs w:val="32"/>
          <w:shd w:val="clear" w:color="auto" w:fill="auto"/>
        </w:rPr>
        <w:t>园区高质量发展后劲不足，要素保障能力不强，</w:t>
      </w:r>
      <w:r>
        <w:rPr>
          <w:rStyle w:val="13"/>
          <w:rFonts w:hint="eastAsia" w:ascii="仿宋_GB2312" w:hAnsi="仿宋_GB2312" w:eastAsia="仿宋_GB2312" w:cs="仿宋_GB2312"/>
          <w:color w:val="000000"/>
          <w:sz w:val="32"/>
          <w:szCs w:val="32"/>
          <w:shd w:val="clear" w:color="auto" w:fill="auto"/>
        </w:rPr>
        <w:t>物流成本偏高，</w:t>
      </w:r>
      <w:r>
        <w:rPr>
          <w:rFonts w:hint="eastAsia" w:ascii="仿宋_GB2312" w:hAnsi="仿宋_GB2312" w:eastAsia="仿宋_GB2312" w:cs="仿宋_GB2312"/>
          <w:bCs/>
          <w:color w:val="000000"/>
          <w:sz w:val="32"/>
          <w:szCs w:val="32"/>
          <w:shd w:val="clear" w:color="auto" w:fill="auto"/>
        </w:rPr>
        <w:t>配套设施有待完善。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五、改进措施和有关建议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县级财政加大对园区项目建设投入，缓解资金压力。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pStyle w:val="9"/>
        <w:ind w:left="0" w:leftChars="0" w:firstLine="0" w:firstLineChars="0"/>
        <w:rPr>
          <w:rFonts w:hint="eastAsia" w:ascii="仿宋" w:hAnsi="仿宋" w:eastAsia="仿宋" w:cs="仿宋"/>
          <w:color w:val="000000" w:themeColor="text1"/>
          <w:sz w:val="32"/>
          <w:szCs w:val="32"/>
          <w14:textFill>
            <w14:solidFill>
              <w14:schemeClr w14:val="tx1"/>
            </w14:solidFill>
          </w14:textFill>
        </w:rPr>
      </w:pPr>
    </w:p>
    <w:p>
      <w:pPr>
        <w:pStyle w:val="9"/>
        <w:ind w:left="0" w:leftChars="0" w:firstLine="0" w:firstLineChars="0"/>
        <w:rPr>
          <w:rFonts w:hint="eastAsia" w:ascii="仿宋" w:hAnsi="仿宋" w:eastAsia="仿宋" w:cs="仿宋"/>
          <w:color w:val="000000" w:themeColor="text1"/>
          <w:sz w:val="32"/>
          <w:szCs w:val="32"/>
          <w14:textFill>
            <w14:solidFill>
              <w14:schemeClr w14:val="tx1"/>
            </w14:solidFill>
          </w14:textFill>
        </w:rPr>
      </w:pPr>
    </w:p>
    <w:sectPr>
      <w:headerReference r:id="rId3" w:type="default"/>
      <w:footerReference r:id="rId4" w:type="default"/>
      <w:footerReference r:id="rId5" w:type="even"/>
      <w:pgSz w:w="11905" w:h="16837"/>
      <w:pgMar w:top="1701"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0F9FB"/>
    <w:multiLevelType w:val="singleLevel"/>
    <w:tmpl w:val="8730F9FB"/>
    <w:lvl w:ilvl="0" w:tentative="0">
      <w:start w:val="3"/>
      <w:numFmt w:val="chineseCounting"/>
      <w:suff w:val="nothing"/>
      <w:lvlText w:val="（%1）"/>
      <w:lvlJc w:val="left"/>
      <w:rPr>
        <w:rFonts w:hint="eastAsia"/>
      </w:rPr>
    </w:lvl>
  </w:abstractNum>
  <w:abstractNum w:abstractNumId="1">
    <w:nsid w:val="FE472B91"/>
    <w:multiLevelType w:val="singleLevel"/>
    <w:tmpl w:val="FE472B91"/>
    <w:lvl w:ilvl="0" w:tentative="0">
      <w:start w:val="2"/>
      <w:numFmt w:val="chineseCounting"/>
      <w:suff w:val="nothing"/>
      <w:lvlText w:val="%1、"/>
      <w:lvlJc w:val="left"/>
      <w:rPr>
        <w:rFonts w:hint="eastAsia"/>
      </w:rPr>
    </w:lvl>
  </w:abstractNum>
  <w:abstractNum w:abstractNumId="2">
    <w:nsid w:val="0F6560A0"/>
    <w:multiLevelType w:val="singleLevel"/>
    <w:tmpl w:val="0F6560A0"/>
    <w:lvl w:ilvl="0" w:tentative="0">
      <w:start w:val="4"/>
      <w:numFmt w:val="chineseCounting"/>
      <w:suff w:val="nothing"/>
      <w:lvlText w:val="%1、"/>
      <w:lvlJc w:val="left"/>
      <w:rPr>
        <w:rFonts w:hint="eastAsia"/>
      </w:rPr>
    </w:lvl>
  </w:abstractNum>
  <w:abstractNum w:abstractNumId="3">
    <w:nsid w:val="550B41B5"/>
    <w:multiLevelType w:val="singleLevel"/>
    <w:tmpl w:val="550B41B5"/>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mQ5MzIzZmVkOGJkNWRiOWM2MGRmOTlhZTZmNmIifQ=="/>
  </w:docVars>
  <w:rsids>
    <w:rsidRoot w:val="18D538B0"/>
    <w:rsid w:val="01600BAC"/>
    <w:rsid w:val="018E17F6"/>
    <w:rsid w:val="01E50D53"/>
    <w:rsid w:val="01EB6738"/>
    <w:rsid w:val="02936A01"/>
    <w:rsid w:val="03B40C48"/>
    <w:rsid w:val="03D2624F"/>
    <w:rsid w:val="040501C3"/>
    <w:rsid w:val="047D1717"/>
    <w:rsid w:val="05323055"/>
    <w:rsid w:val="05E337FC"/>
    <w:rsid w:val="06536294"/>
    <w:rsid w:val="06581AF4"/>
    <w:rsid w:val="07155C37"/>
    <w:rsid w:val="074D3623"/>
    <w:rsid w:val="07AA2823"/>
    <w:rsid w:val="088017D6"/>
    <w:rsid w:val="095C4A33"/>
    <w:rsid w:val="09D347BB"/>
    <w:rsid w:val="0A6273E5"/>
    <w:rsid w:val="0A686BF6"/>
    <w:rsid w:val="0B705B32"/>
    <w:rsid w:val="0C460641"/>
    <w:rsid w:val="0C760F26"/>
    <w:rsid w:val="0C8C0749"/>
    <w:rsid w:val="0DD74424"/>
    <w:rsid w:val="0E201483"/>
    <w:rsid w:val="0FBE70DE"/>
    <w:rsid w:val="0FD04DF1"/>
    <w:rsid w:val="107F4121"/>
    <w:rsid w:val="10C57C4D"/>
    <w:rsid w:val="10F62635"/>
    <w:rsid w:val="11166833"/>
    <w:rsid w:val="11456604"/>
    <w:rsid w:val="117C2E73"/>
    <w:rsid w:val="11E9622E"/>
    <w:rsid w:val="12607728"/>
    <w:rsid w:val="126104A5"/>
    <w:rsid w:val="13113C31"/>
    <w:rsid w:val="1319260B"/>
    <w:rsid w:val="133F19AA"/>
    <w:rsid w:val="13622204"/>
    <w:rsid w:val="13AE5449"/>
    <w:rsid w:val="13C57FC2"/>
    <w:rsid w:val="13DD7ADC"/>
    <w:rsid w:val="13EB2DF0"/>
    <w:rsid w:val="13FF7155"/>
    <w:rsid w:val="144F5156"/>
    <w:rsid w:val="152F445C"/>
    <w:rsid w:val="15AE34DE"/>
    <w:rsid w:val="173C6125"/>
    <w:rsid w:val="1767588B"/>
    <w:rsid w:val="18D538B0"/>
    <w:rsid w:val="18E032C2"/>
    <w:rsid w:val="19A277FE"/>
    <w:rsid w:val="1BF9747E"/>
    <w:rsid w:val="1C3F7586"/>
    <w:rsid w:val="1CCF110C"/>
    <w:rsid w:val="1D9456B0"/>
    <w:rsid w:val="1E453688"/>
    <w:rsid w:val="1FA31533"/>
    <w:rsid w:val="20A91858"/>
    <w:rsid w:val="20F649C3"/>
    <w:rsid w:val="21093CBF"/>
    <w:rsid w:val="213827F6"/>
    <w:rsid w:val="214B2529"/>
    <w:rsid w:val="21796BC2"/>
    <w:rsid w:val="21B552CB"/>
    <w:rsid w:val="220D77DF"/>
    <w:rsid w:val="221F47D8"/>
    <w:rsid w:val="22883309"/>
    <w:rsid w:val="228A7081"/>
    <w:rsid w:val="22BE0E76"/>
    <w:rsid w:val="23250B58"/>
    <w:rsid w:val="2483632E"/>
    <w:rsid w:val="25550C1E"/>
    <w:rsid w:val="25B05D49"/>
    <w:rsid w:val="28BF4190"/>
    <w:rsid w:val="29D15596"/>
    <w:rsid w:val="2A706BB3"/>
    <w:rsid w:val="2A7C719C"/>
    <w:rsid w:val="2B926A7E"/>
    <w:rsid w:val="2C2B5641"/>
    <w:rsid w:val="2C783A9D"/>
    <w:rsid w:val="2CB6067E"/>
    <w:rsid w:val="2CC66F08"/>
    <w:rsid w:val="2CCA094F"/>
    <w:rsid w:val="2E2B5E45"/>
    <w:rsid w:val="2E515D05"/>
    <w:rsid w:val="2E7136BD"/>
    <w:rsid w:val="2E9A064C"/>
    <w:rsid w:val="2FC02FA6"/>
    <w:rsid w:val="2FF745A3"/>
    <w:rsid w:val="304A5411"/>
    <w:rsid w:val="31225C8A"/>
    <w:rsid w:val="316450AF"/>
    <w:rsid w:val="32146031"/>
    <w:rsid w:val="32933D30"/>
    <w:rsid w:val="32C24615"/>
    <w:rsid w:val="335115F0"/>
    <w:rsid w:val="337A6C9E"/>
    <w:rsid w:val="35415CC5"/>
    <w:rsid w:val="3546366F"/>
    <w:rsid w:val="355E0625"/>
    <w:rsid w:val="357070B5"/>
    <w:rsid w:val="35D2691D"/>
    <w:rsid w:val="367A2875"/>
    <w:rsid w:val="376A3C4C"/>
    <w:rsid w:val="38D539D2"/>
    <w:rsid w:val="38F44DFD"/>
    <w:rsid w:val="38FC7F68"/>
    <w:rsid w:val="39C175C6"/>
    <w:rsid w:val="3A754CC9"/>
    <w:rsid w:val="3B1D688D"/>
    <w:rsid w:val="3BEA370A"/>
    <w:rsid w:val="3BEB698B"/>
    <w:rsid w:val="3C88242C"/>
    <w:rsid w:val="3D204412"/>
    <w:rsid w:val="3DCE3E6E"/>
    <w:rsid w:val="3E3A69A0"/>
    <w:rsid w:val="3ECD3124"/>
    <w:rsid w:val="3EDB58CA"/>
    <w:rsid w:val="3F9A003D"/>
    <w:rsid w:val="3FDD483D"/>
    <w:rsid w:val="3FEA0343"/>
    <w:rsid w:val="43CC52F4"/>
    <w:rsid w:val="442F13DF"/>
    <w:rsid w:val="45067A1F"/>
    <w:rsid w:val="475F4422"/>
    <w:rsid w:val="47633879"/>
    <w:rsid w:val="47AF2F63"/>
    <w:rsid w:val="4874505C"/>
    <w:rsid w:val="48F549A5"/>
    <w:rsid w:val="49136AFE"/>
    <w:rsid w:val="49201968"/>
    <w:rsid w:val="49F977A4"/>
    <w:rsid w:val="4A2D63C1"/>
    <w:rsid w:val="4A533EDC"/>
    <w:rsid w:val="4B6814D6"/>
    <w:rsid w:val="4B9F509C"/>
    <w:rsid w:val="4BB905DA"/>
    <w:rsid w:val="4D1A5FA6"/>
    <w:rsid w:val="4D2515D1"/>
    <w:rsid w:val="4E0B709E"/>
    <w:rsid w:val="5039786D"/>
    <w:rsid w:val="507C62DD"/>
    <w:rsid w:val="50B20CEB"/>
    <w:rsid w:val="50B74C36"/>
    <w:rsid w:val="529B7370"/>
    <w:rsid w:val="52D60E37"/>
    <w:rsid w:val="535D1AC5"/>
    <w:rsid w:val="53764934"/>
    <w:rsid w:val="537A08DB"/>
    <w:rsid w:val="55FE57CA"/>
    <w:rsid w:val="563C6D66"/>
    <w:rsid w:val="565C4B5A"/>
    <w:rsid w:val="56AB1F60"/>
    <w:rsid w:val="56B713AF"/>
    <w:rsid w:val="572D004A"/>
    <w:rsid w:val="578E37A1"/>
    <w:rsid w:val="581806B0"/>
    <w:rsid w:val="58C76ABA"/>
    <w:rsid w:val="59461E61"/>
    <w:rsid w:val="598074EC"/>
    <w:rsid w:val="59CA59DA"/>
    <w:rsid w:val="5CA74A82"/>
    <w:rsid w:val="5CF3349A"/>
    <w:rsid w:val="5D6C7344"/>
    <w:rsid w:val="5D9A3915"/>
    <w:rsid w:val="5E99390A"/>
    <w:rsid w:val="5EA551F5"/>
    <w:rsid w:val="603C46F3"/>
    <w:rsid w:val="60EE0200"/>
    <w:rsid w:val="615E2D65"/>
    <w:rsid w:val="61AF2FE3"/>
    <w:rsid w:val="63521D29"/>
    <w:rsid w:val="635B32B1"/>
    <w:rsid w:val="63AD5DD7"/>
    <w:rsid w:val="64FD6C64"/>
    <w:rsid w:val="6554084E"/>
    <w:rsid w:val="65A25A5D"/>
    <w:rsid w:val="65B75B1D"/>
    <w:rsid w:val="65ED7F30"/>
    <w:rsid w:val="661C7228"/>
    <w:rsid w:val="669E4476"/>
    <w:rsid w:val="670B01C0"/>
    <w:rsid w:val="673E534B"/>
    <w:rsid w:val="68012F0F"/>
    <w:rsid w:val="68045877"/>
    <w:rsid w:val="685736C5"/>
    <w:rsid w:val="68970711"/>
    <w:rsid w:val="69EE1271"/>
    <w:rsid w:val="6A522671"/>
    <w:rsid w:val="6ACB22C2"/>
    <w:rsid w:val="6B9C55BA"/>
    <w:rsid w:val="6C3C39CA"/>
    <w:rsid w:val="6C6A0E2B"/>
    <w:rsid w:val="6C801864"/>
    <w:rsid w:val="6DC20A4A"/>
    <w:rsid w:val="6E0948CB"/>
    <w:rsid w:val="6E615BFD"/>
    <w:rsid w:val="6F2B6AC3"/>
    <w:rsid w:val="6FE05885"/>
    <w:rsid w:val="71A16BC9"/>
    <w:rsid w:val="745037BC"/>
    <w:rsid w:val="751029E3"/>
    <w:rsid w:val="76452218"/>
    <w:rsid w:val="767C2482"/>
    <w:rsid w:val="76B15E51"/>
    <w:rsid w:val="780A371A"/>
    <w:rsid w:val="78270946"/>
    <w:rsid w:val="78853E63"/>
    <w:rsid w:val="79367029"/>
    <w:rsid w:val="79FE11C9"/>
    <w:rsid w:val="7A031D57"/>
    <w:rsid w:val="7A3613CA"/>
    <w:rsid w:val="7A903C7E"/>
    <w:rsid w:val="7B3D3D71"/>
    <w:rsid w:val="7BAB5C55"/>
    <w:rsid w:val="7C594C70"/>
    <w:rsid w:val="7C6D4277"/>
    <w:rsid w:val="7C8B294F"/>
    <w:rsid w:val="7D2A54B9"/>
    <w:rsid w:val="7D887789"/>
    <w:rsid w:val="7F6C4CBA"/>
    <w:rsid w:val="7FA61257"/>
    <w:rsid w:val="7FAA3BD5"/>
    <w:rsid w:val="7FBC5A54"/>
    <w:rsid w:val="7FFC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next w:val="1"/>
    <w:qFormat/>
    <w:uiPriority w:val="0"/>
    <w:pPr>
      <w:widowControl w:val="0"/>
      <w:ind w:left="800" w:leftChars="800"/>
      <w:jc w:val="both"/>
    </w:pPr>
    <w:rPr>
      <w:rFonts w:asciiTheme="minorHAnsi" w:hAnsiTheme="minorHAnsi" w:eastAsiaTheme="minorEastAsia" w:cstheme="minorBidi"/>
      <w:kern w:val="2"/>
      <w:sz w:val="21"/>
      <w:szCs w:val="22"/>
      <w:lang w:val="en-US" w:eastAsia="zh-CN" w:bidi="ar-SA"/>
    </w:rPr>
  </w:style>
  <w:style w:type="paragraph" w:styleId="5">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ind w:firstLine="640" w:firstLineChars="200"/>
    </w:pPr>
    <w:rPr>
      <w:sz w:val="32"/>
    </w:rPr>
  </w:style>
  <w:style w:type="paragraph" w:styleId="7">
    <w:name w:val="Plain Text"/>
    <w:basedOn w:val="1"/>
    <w:unhideWhenUsed/>
    <w:qFormat/>
    <w:uiPriority w:val="99"/>
    <w:rPr>
      <w:rFonts w:ascii="宋体" w:hAnsi="Courier New" w:cs="Courier New"/>
      <w:szCs w:val="21"/>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qFormat/>
    <w:uiPriority w:val="99"/>
    <w:pPr>
      <w:ind w:firstLine="420" w:firstLineChars="200"/>
    </w:pPr>
  </w:style>
  <w:style w:type="character" w:styleId="12">
    <w:name w:val="page number"/>
    <w:basedOn w:val="11"/>
    <w:qFormat/>
    <w:uiPriority w:val="0"/>
  </w:style>
  <w:style w:type="character" w:customStyle="1" w:styleId="13">
    <w:name w:val="NormalCharacter"/>
    <w:link w:val="14"/>
    <w:qFormat/>
    <w:uiPriority w:val="0"/>
  </w:style>
  <w:style w:type="paragraph" w:customStyle="1" w:styleId="14">
    <w:name w:val="UserStyle_1"/>
    <w:basedOn w:val="15"/>
    <w:link w:val="13"/>
    <w:qFormat/>
    <w:uiPriority w:val="0"/>
    <w:pPr>
      <w:spacing w:after="160" w:line="240" w:lineRule="exact"/>
      <w:jc w:val="left"/>
    </w:pPr>
  </w:style>
  <w:style w:type="paragraph" w:customStyle="1" w:styleId="15">
    <w:name w:val="UserStyle_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16">
    <w:name w:val="western"/>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5574</Words>
  <Characters>6147</Characters>
  <Lines>0</Lines>
  <Paragraphs>0</Paragraphs>
  <TotalTime>50</TotalTime>
  <ScaleCrop>false</ScaleCrop>
  <LinksUpToDate>false</LinksUpToDate>
  <CharactersWithSpaces>6316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Zhouzz</cp:lastModifiedBy>
  <cp:lastPrinted>2023-05-08T08:40:24Z</cp:lastPrinted>
  <dcterms:modified xsi:type="dcterms:W3CDTF">2023-05-08T08:48:15Z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9E29B5309BA94329A97EFF0A5B18148D_13</vt:lpwstr>
  </property>
</Properties>
</file>