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</w:rPr>
        <w:t>关于《隆回县工程建设项目和房地产业税收保障管理办法》的</w:t>
      </w:r>
      <w:r>
        <w:rPr>
          <w:rFonts w:hint="eastAsia" w:ascii="黑体" w:eastAsia="黑体"/>
          <w:b/>
          <w:sz w:val="44"/>
          <w:szCs w:val="44"/>
          <w:lang w:eastAsia="zh-CN"/>
        </w:rPr>
        <w:t>解读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Helvetica" w:eastAsia="黑体" w:cs="Helvetica"/>
          <w:color w:val="333333"/>
          <w:sz w:val="32"/>
          <w:szCs w:val="32"/>
        </w:rPr>
        <w:t>一、制定的必要性和基本情况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我县工程建设项目和房地产业所涉及的政府管理部门众多，监管难度大，各部门之间信息未有效整合共享，未形成监管合力。我县工程建设项目和房地产业税收是本地主要税源，占税收收入总额53%以上，加强工程建设项目和房地产业的税收征管是税务部门重点工作，同时也需要各政府管理部门予以支持和配合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ind w:left="0" w:leftChars="0" w:firstLine="640" w:firstLineChars="200"/>
        <w:textAlignment w:val="auto"/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随着中央深化“放管服”改革，新建商品房“交房即办证”改革试点工作全面推进，“营改增”后工程建设项目税收征管难度增大，迫切需要完善和创新相关监管措施。</w:t>
      </w:r>
      <w:r>
        <w:rPr>
          <w:rFonts w:hint="eastAsia" w:ascii="仿宋" w:hAnsi="仿宋" w:eastAsia="仿宋" w:cs="仿宋"/>
          <w:sz w:val="32"/>
          <w:szCs w:val="32"/>
        </w:rPr>
        <w:t>去年取消了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部门凭《税收管理转办单》办理产权证的监管措施，必然要求税务部门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加强事前和事中监管，事前应充分掌握税源信息，事中应加强工程建设项目和房地产业立项报批、建设开发、预收收入、竣工验收等各环节的监管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现《隆回县建筑业和房地产业税收一体化管理办法》（隆政办发[2017]1号）文件已不适应新形势发展要求，</w:t>
      </w:r>
      <w:r>
        <w:rPr>
          <w:rFonts w:hint="eastAsia" w:ascii="仿宋" w:hAnsi="仿宋" w:eastAsia="仿宋" w:cs="仿宋"/>
          <w:sz w:val="32"/>
          <w:szCs w:val="32"/>
        </w:rPr>
        <w:t>为优化营商环境，避免对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建筑企业和房地产</w:t>
      </w:r>
      <w:r>
        <w:rPr>
          <w:rFonts w:hint="eastAsia" w:ascii="仿宋" w:hAnsi="仿宋" w:eastAsia="仿宋" w:cs="仿宋"/>
          <w:sz w:val="32"/>
          <w:szCs w:val="32"/>
        </w:rPr>
        <w:t>开发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的频繁入户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确保税收收入</w:t>
      </w:r>
      <w:r>
        <w:rPr>
          <w:rFonts w:hint="eastAsia" w:ascii="仿宋" w:hAnsi="仿宋" w:eastAsia="仿宋" w:cs="仿宋"/>
          <w:sz w:val="32"/>
          <w:szCs w:val="32"/>
        </w:rPr>
        <w:t>及时足额入库，防止税费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征管</w:t>
      </w:r>
      <w:r>
        <w:rPr>
          <w:rFonts w:hint="eastAsia" w:ascii="仿宋" w:hAnsi="仿宋" w:eastAsia="仿宋" w:cs="仿宋"/>
          <w:sz w:val="32"/>
          <w:szCs w:val="32"/>
        </w:rPr>
        <w:t>遗留问题发生，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充分发挥政府相关职能部门税收共治优势，特提请县人民政府制定并出台《隆回县工程建设项目和房地产业税收保障管理办法》文件。同时废止《隆回县建筑业和房地产业税收一体化管理办法》。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Helvetica" w:eastAsia="黑体" w:cs="Helvetica"/>
          <w:color w:val="333333"/>
          <w:sz w:val="32"/>
          <w:szCs w:val="32"/>
        </w:rPr>
        <w:t>二、起草过程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39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《隆回县工程建设项目和房地产业税收保障管理办法》由国家税务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总局隆回县税务局起草。为充分发挥政府部门的税收共治优势，切实加强对工程建设项目和房地产市场的联合监管，进一步强化我县工程建设项目和房地产业的税收征管，根据《中华人民共和国税收征收管理法》、《中华人民共和国契税法》、《中华人民共和国发票管理办法》、《湖南省税收保障办法》等法律法规规章的有关规定，结合我县实际，制定本办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本办法提请隆回县人民政府常务会议讨论通过，并充分征求县纪委监委、高新区管委会、司法、发改、自然资源、住建、财政、审计、交通、水利等部门意见和建议，一致同意出台本办法。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Helvetica" w:eastAsia="黑体" w:cs="Helvetica"/>
          <w:color w:val="333333"/>
          <w:sz w:val="32"/>
          <w:szCs w:val="32"/>
        </w:rPr>
        <w:t>三、制定依据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（一）2001年5月1日公布的《中华人民共和国税收征收管理法》（中华人民共和国主席令第49号）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（二）2020年8月11日公布的《中华人民共和国契税法》（中华人民共和国主席令第52号）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（三）1993年12月23日公布的《中华人民共和国发票管理办法》（财政部令第6号）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（四）2012年10月17日公布的《湖南省税收保障办法》（湖南省人民政府令第261号）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640" w:firstLineChars="200"/>
        <w:textAlignment w:val="auto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Helvetica" w:eastAsia="黑体" w:cs="Helvetica"/>
          <w:color w:val="333333"/>
          <w:sz w:val="32"/>
          <w:szCs w:val="32"/>
        </w:rPr>
        <w:t>四、主要内容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成立税费保障工作领导小组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_GB2312" w:eastAsia="仿宋_GB2312"/>
          <w:color w:val="000000"/>
          <w:sz w:val="32"/>
          <w:szCs w:val="32"/>
        </w:rPr>
        <w:t>负责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工程建设项目</w:t>
      </w:r>
      <w:r>
        <w:rPr>
          <w:rFonts w:hint="eastAsia" w:ascii="仿宋_GB2312" w:eastAsia="仿宋_GB2312"/>
          <w:color w:val="000000"/>
          <w:sz w:val="32"/>
          <w:szCs w:val="32"/>
        </w:rPr>
        <w:t>和房地产业税收保障工作的组织实施、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统筹协调</w:t>
      </w:r>
      <w:r>
        <w:rPr>
          <w:rFonts w:hint="eastAsia" w:ascii="仿宋_GB2312" w:eastAsia="仿宋_GB2312"/>
          <w:color w:val="000000"/>
          <w:sz w:val="32"/>
          <w:szCs w:val="32"/>
        </w:rPr>
        <w:t>、督导考核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及处理</w:t>
      </w:r>
      <w:r>
        <w:rPr>
          <w:rFonts w:hint="eastAsia" w:ascii="仿宋_GB2312" w:eastAsia="仿宋_GB2312"/>
          <w:color w:val="000000"/>
          <w:sz w:val="32"/>
          <w:szCs w:val="32"/>
        </w:rPr>
        <w:t>涉税信息、协调税费入库。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（二）加强部门间信息共享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发改局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住建局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自然资源局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及各工程建设项目实施单位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等部门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提供涉税信息，实现</w:t>
      </w:r>
      <w:r>
        <w:rPr>
          <w:rFonts w:hint="eastAsia" w:ascii="仿宋" w:hAnsi="仿宋" w:eastAsia="仿宋" w:cs="仿宋"/>
          <w:sz w:val="32"/>
          <w:szCs w:val="32"/>
        </w:rPr>
        <w:t>部门数据的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共享。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（三）强化税收控管。明确部门协税护税职责，</w:t>
      </w:r>
      <w:r>
        <w:rPr>
          <w:rFonts w:hint="eastAsia" w:ascii="仿宋" w:hAnsi="仿宋" w:eastAsia="仿宋" w:cs="仿宋"/>
          <w:sz w:val="32"/>
          <w:szCs w:val="32"/>
        </w:rPr>
        <w:t>实现相关部门对税收保障工作的协同把关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住建、交通、农业、水利等施工许可部门批准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工程建设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项目时，应督促施工企业向当地主管税务机关办理税务登记。建设单位与施工企业签订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工程建设项目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施工合同、协议时，应督促施工企业向当地主管税务机关办理税务登记。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住建局在受理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新建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商品房预售备案登记时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、办理房地产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目竣工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验收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备案登记时、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撤销商品房预售款监管账户前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配合和协助税务部门进行税收控管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自然资源局（不动产登记中心）在受理产权登记时，应当查验受让人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相关完税凭证和发票后，办理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相关登记业务。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390"/>
        <w:textAlignment w:val="auto"/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 xml:space="preserve">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textAlignment w:val="auto"/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390"/>
        <w:textAlignment w:val="auto"/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4160" w:firstLineChars="1300"/>
        <w:textAlignment w:val="auto"/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国家税务总局隆回县税务局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700" w:lineRule="exact"/>
        <w:ind w:firstLine="39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 xml:space="preserve">                            2021年4月12日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DhmMTc0OGQ3MGRlYTM1NzJmNTE1MDYwYTMzNmMifQ=="/>
  </w:docVars>
  <w:rsids>
    <w:rsidRoot w:val="008A0AD1"/>
    <w:rsid w:val="007D063D"/>
    <w:rsid w:val="008A0AD1"/>
    <w:rsid w:val="2572346B"/>
    <w:rsid w:val="28AA03AF"/>
    <w:rsid w:val="2D693995"/>
    <w:rsid w:val="348F1A33"/>
    <w:rsid w:val="3EF329B8"/>
    <w:rsid w:val="54F21AC4"/>
    <w:rsid w:val="57382228"/>
    <w:rsid w:val="5EED50F0"/>
    <w:rsid w:val="64511C6F"/>
    <w:rsid w:val="66465790"/>
    <w:rsid w:val="72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692</Characters>
  <Lines>5</Lines>
  <Paragraphs>1</Paragraphs>
  <TotalTime>5</TotalTime>
  <ScaleCrop>false</ScaleCrop>
  <LinksUpToDate>false</LinksUpToDate>
  <CharactersWithSpaces>812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2018-04-26T09:10:00Z</dcterms:created>
  <dc:creator>微软用户</dc:creator>
  <cp:lastModifiedBy>随风而起</cp:lastModifiedBy>
  <cp:lastPrinted>2021-03-22T08:22:00Z</cp:lastPrinted>
  <dcterms:modified xsi:type="dcterms:W3CDTF">2023-09-21T07:30:03Z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EF053C7EDD4141489BCFA96D5565C627</vt:lpwstr>
  </property>
</Properties>
</file>