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pacing w:line="380" w:lineRule="exact"/>
        <w:jc w:val="center"/>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2019年度城市基础设施配套费</w:t>
      </w:r>
    </w:p>
    <w:p>
      <w:pPr>
        <w:pageBreakBefore w:val="0"/>
        <w:widowControl w:val="0"/>
        <w:tabs>
          <w:tab w:val="left" w:pos="1050"/>
        </w:tabs>
        <w:kinsoku/>
        <w:overflowPunct/>
        <w:topLinePunct w:val="0"/>
        <w:autoSpaceDE/>
        <w:autoSpaceDN/>
        <w:bidi w:val="0"/>
        <w:adjustRightInd/>
        <w:spacing w:line="380" w:lineRule="exact"/>
        <w:jc w:val="center"/>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专项资金绩效评价报告</w:t>
      </w:r>
    </w:p>
    <w:p>
      <w:pPr>
        <w:pageBreakBefore w:val="0"/>
        <w:widowControl w:val="0"/>
        <w:kinsoku/>
        <w:overflowPunct/>
        <w:topLinePunct w:val="0"/>
        <w:autoSpaceDE/>
        <w:autoSpaceDN/>
        <w:bidi w:val="0"/>
        <w:adjustRightInd/>
        <w:spacing w:line="3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ageBreakBefore w:val="0"/>
        <w:widowControl w:val="0"/>
        <w:kinsoku/>
        <w:overflowPunct/>
        <w:topLinePunct w:val="0"/>
        <w:autoSpaceDE/>
        <w:autoSpaceDN/>
        <w:bidi w:val="0"/>
        <w:adjustRightInd/>
        <w:spacing w:line="400" w:lineRule="exact"/>
        <w:ind w:left="-227" w:leftChars="-189" w:right="-92" w:rightChars="-44" w:hanging="170" w:hangingChars="61"/>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b w:val="0"/>
          <w:bCs w:val="0"/>
          <w:sz w:val="28"/>
          <w:szCs w:val="28"/>
          <w:lang w:val="en-US" w:eastAsia="zh-CN"/>
        </w:rPr>
        <w:t xml:space="preserve"> 根据《隆回县财政局关于开展2019年度部门整体支出和县级财政资金支出绩效评价工作的通知》（隆财绩[2020]2号）文件精神，</w:t>
      </w:r>
      <w:r>
        <w:rPr>
          <w:rFonts w:hint="eastAsia" w:ascii="仿宋" w:hAnsi="仿宋" w:eastAsia="仿宋" w:cs="仿宋"/>
          <w:sz w:val="28"/>
          <w:szCs w:val="28"/>
          <w:lang w:val="en-US" w:eastAsia="zh-CN"/>
        </w:rPr>
        <w:t>我单位认真对2019年度城市基础设施配套费专项资金进行了绩效自评，</w:t>
      </w:r>
      <w:r>
        <w:rPr>
          <w:rFonts w:hint="eastAsia" w:ascii="仿宋" w:hAnsi="仿宋" w:eastAsia="仿宋" w:cs="仿宋"/>
          <w:b/>
          <w:bCs/>
          <w:sz w:val="28"/>
          <w:szCs w:val="28"/>
          <w:lang w:val="en-US" w:eastAsia="zh-CN"/>
        </w:rPr>
        <w:t>自评结论为良</w:t>
      </w:r>
      <w:r>
        <w:rPr>
          <w:rFonts w:hint="eastAsia" w:ascii="仿宋" w:hAnsi="仿宋" w:eastAsia="仿宋" w:cs="仿宋"/>
          <w:sz w:val="28"/>
          <w:szCs w:val="28"/>
          <w:lang w:val="en-US" w:eastAsia="zh-CN"/>
        </w:rPr>
        <w:t>，现将绩效自评情况汇报如下：</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一、项目概况</w:t>
      </w:r>
    </w:p>
    <w:p>
      <w:pPr>
        <w:keepNext w:val="0"/>
        <w:keepLines w:val="0"/>
        <w:pageBreakBefore w:val="0"/>
        <w:widowControl w:val="0"/>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color w:val="000000"/>
          <w:sz w:val="28"/>
          <w:szCs w:val="28"/>
          <w:shd w:val="clear" w:color="auto" w:fill="FFFFFF"/>
          <w:lang w:val="en-US" w:eastAsia="zh-CN"/>
        </w:rPr>
        <w:t>为加大城市基础设施建设力度、维护和管理，使城市基础设施不断完善，充分发挥其效益，方便人民生产和生活，提高城市功能和承载能力</w:t>
      </w:r>
      <w:r>
        <w:rPr>
          <w:rFonts w:hint="eastAsia" w:ascii="仿宋" w:hAnsi="仿宋" w:eastAsia="仿宋" w:cs="仿宋"/>
          <w:color w:val="000000"/>
          <w:sz w:val="28"/>
          <w:szCs w:val="28"/>
          <w:shd w:val="clear" w:color="auto" w:fill="FFFFFF"/>
        </w:rPr>
        <w:t>，</w:t>
      </w:r>
      <w:r>
        <w:rPr>
          <w:rFonts w:hint="eastAsia" w:ascii="仿宋" w:hAnsi="仿宋" w:eastAsia="仿宋" w:cs="仿宋"/>
          <w:sz w:val="28"/>
          <w:szCs w:val="28"/>
          <w:lang w:val="en-US" w:eastAsia="zh-CN"/>
        </w:rPr>
        <w:t>2019年度隆回县安排</w:t>
      </w:r>
      <w:r>
        <w:rPr>
          <w:rFonts w:hint="eastAsia" w:ascii="仿宋" w:hAnsi="仿宋" w:eastAsia="仿宋" w:cs="仿宋"/>
          <w:color w:val="000000"/>
          <w:sz w:val="28"/>
          <w:szCs w:val="28"/>
          <w:shd w:val="clear" w:color="auto" w:fill="FFFFFF"/>
          <w:lang w:val="en-US" w:eastAsia="zh-CN"/>
        </w:rPr>
        <w:t>城市基础设施配套费专项资金</w:t>
      </w:r>
      <w:r>
        <w:rPr>
          <w:rFonts w:hint="eastAsia" w:ascii="仿宋" w:hAnsi="仿宋" w:eastAsia="仿宋" w:cs="仿宋"/>
          <w:sz w:val="28"/>
          <w:szCs w:val="28"/>
          <w:lang w:val="en-US" w:eastAsia="zh-CN"/>
        </w:rPr>
        <w:t>362.4万元。</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二、项目资金使用及管理情况</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根据《关于下达2019年</w:t>
      </w:r>
      <w:r>
        <w:rPr>
          <w:rFonts w:hint="eastAsia" w:ascii="仿宋" w:hAnsi="仿宋" w:eastAsia="仿宋" w:cs="仿宋"/>
          <w:color w:val="000000"/>
          <w:sz w:val="28"/>
          <w:szCs w:val="28"/>
          <w:shd w:val="clear" w:color="auto" w:fill="FFFFFF"/>
          <w:lang w:val="en-US" w:eastAsia="zh-CN"/>
        </w:rPr>
        <w:t>城市基础设施配套费</w:t>
      </w:r>
      <w:r>
        <w:rPr>
          <w:rFonts w:hint="eastAsia" w:ascii="仿宋" w:hAnsi="仿宋" w:eastAsia="仿宋" w:cs="仿宋"/>
          <w:sz w:val="28"/>
          <w:szCs w:val="28"/>
          <w:lang w:val="en-US" w:eastAsia="zh-CN"/>
        </w:rPr>
        <w:t>资金的通知》（隆财建指〔2019〕49号）文件，</w:t>
      </w:r>
      <w:r>
        <w:rPr>
          <w:rFonts w:hint="eastAsia" w:ascii="仿宋" w:hAnsi="仿宋" w:eastAsia="仿宋" w:cs="仿宋"/>
          <w:color w:val="000000"/>
          <w:sz w:val="28"/>
          <w:szCs w:val="28"/>
          <w:lang w:val="en-US" w:eastAsia="zh-CN" w:bidi="ar"/>
        </w:rPr>
        <w:t>2019年度全县</w:t>
      </w:r>
      <w:r>
        <w:rPr>
          <w:rFonts w:hint="eastAsia" w:ascii="仿宋" w:hAnsi="仿宋" w:eastAsia="仿宋" w:cs="仿宋"/>
          <w:color w:val="000000"/>
          <w:sz w:val="28"/>
          <w:szCs w:val="28"/>
          <w:shd w:val="clear" w:color="auto" w:fill="FFFFFF"/>
          <w:lang w:val="en-US" w:eastAsia="zh-CN"/>
        </w:rPr>
        <w:t>城市基础设施配套费专项资金共安排</w:t>
      </w:r>
      <w:r>
        <w:rPr>
          <w:rFonts w:hint="eastAsia" w:ascii="仿宋" w:hAnsi="仿宋" w:eastAsia="仿宋" w:cs="仿宋"/>
          <w:sz w:val="28"/>
          <w:szCs w:val="28"/>
          <w:lang w:val="en-US" w:eastAsia="zh-CN"/>
        </w:rPr>
        <w:t>362.4万元。其中公用事业服务中心实施的县城市政设施维护管理项目4个，金额51.4万元；县安质站实施的县城扬尘治理专项行动专项资金10万元；县住保中心实施的预售监管、维修基金管理信息平台建设资金10万元；县住建局实施的城乡建设运行监管项目3个，金额30万元；由22个乡镇实施的公共设施维护建设补助项目261万元。</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eastAsia" w:ascii="仿宋" w:hAnsi="仿宋" w:eastAsia="仿宋" w:cs="仿宋"/>
          <w:color w:val="000000"/>
          <w:sz w:val="28"/>
          <w:szCs w:val="28"/>
          <w:lang w:val="en-US" w:eastAsia="zh-CN" w:bidi="ar"/>
        </w:rPr>
      </w:pPr>
      <w:r>
        <w:rPr>
          <w:rFonts w:hint="eastAsia" w:ascii="仿宋" w:hAnsi="仿宋" w:eastAsia="仿宋" w:cs="仿宋"/>
          <w:color w:val="000000"/>
          <w:sz w:val="28"/>
          <w:szCs w:val="28"/>
          <w:lang w:val="en-US" w:eastAsia="zh-CN" w:bidi="ar"/>
        </w:rPr>
        <w:t>2019年度</w:t>
      </w:r>
      <w:r>
        <w:rPr>
          <w:rFonts w:hint="eastAsia" w:ascii="仿宋" w:hAnsi="仿宋" w:eastAsia="仿宋" w:cs="仿宋"/>
          <w:color w:val="000000"/>
          <w:sz w:val="28"/>
          <w:szCs w:val="28"/>
          <w:shd w:val="clear" w:color="auto" w:fill="FFFFFF"/>
          <w:lang w:val="en-US" w:eastAsia="zh-CN"/>
        </w:rPr>
        <w:t>城市基础设施配套费专项资金建设项目</w:t>
      </w:r>
      <w:r>
        <w:rPr>
          <w:rFonts w:hint="eastAsia" w:ascii="仿宋" w:hAnsi="仿宋" w:eastAsia="仿宋" w:cs="仿宋"/>
          <w:color w:val="000000"/>
          <w:sz w:val="28"/>
          <w:szCs w:val="28"/>
          <w:lang w:val="en-US" w:eastAsia="zh-CN" w:bidi="ar"/>
        </w:rPr>
        <w:t>，严格按照财政专项资金管理办法，专款专用。</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textAlignment w:val="auto"/>
        <w:outlineLvl w:val="9"/>
        <w:rPr>
          <w:rFonts w:hint="eastAsia" w:ascii="仿宋" w:hAnsi="仿宋" w:eastAsia="仿宋" w:cs="仿宋"/>
          <w:b w:val="0"/>
          <w:bCs w:val="0"/>
          <w:sz w:val="28"/>
          <w:szCs w:val="28"/>
          <w:lang w:val="en-US" w:eastAsia="zh-CN"/>
        </w:rPr>
      </w:pPr>
      <w:r>
        <w:rPr>
          <w:rStyle w:val="10"/>
          <w:rFonts w:hint="eastAsia" w:ascii="仿宋" w:hAnsi="仿宋" w:eastAsia="仿宋" w:cs="仿宋"/>
          <w:sz w:val="28"/>
          <w:szCs w:val="28"/>
          <w:lang w:val="en-US" w:eastAsia="zh-CN"/>
        </w:rPr>
        <w:t>1、提出申请。</w:t>
      </w:r>
      <w:r>
        <w:rPr>
          <w:rFonts w:hint="eastAsia" w:ascii="仿宋" w:hAnsi="仿宋" w:eastAsia="仿宋" w:cs="仿宋"/>
          <w:b w:val="0"/>
          <w:bCs w:val="0"/>
          <w:sz w:val="28"/>
          <w:szCs w:val="28"/>
          <w:lang w:val="en-US" w:eastAsia="zh-CN"/>
        </w:rPr>
        <w:t>由各实施单位向建设行政主管部门提交书面申请，明确项目建设有实施主体。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textAlignment w:val="auto"/>
        <w:outlineLvl w:val="9"/>
        <w:rPr>
          <w:rFonts w:hint="eastAsia" w:ascii="仿宋" w:hAnsi="仿宋" w:eastAsia="仿宋" w:cs="仿宋"/>
          <w:b w:val="0"/>
          <w:bCs w:val="0"/>
          <w:sz w:val="28"/>
          <w:szCs w:val="28"/>
          <w:lang w:val="en-US" w:eastAsia="zh-CN"/>
        </w:rPr>
      </w:pPr>
      <w:r>
        <w:rPr>
          <w:rStyle w:val="10"/>
          <w:rFonts w:hint="eastAsia" w:ascii="仿宋" w:hAnsi="仿宋" w:eastAsia="仿宋" w:cs="仿宋"/>
          <w:sz w:val="28"/>
          <w:szCs w:val="28"/>
          <w:lang w:val="en-US" w:eastAsia="zh-CN"/>
        </w:rPr>
        <w:t>2、充分调研，编制计划。</w:t>
      </w:r>
      <w:r>
        <w:rPr>
          <w:rFonts w:hint="eastAsia" w:ascii="仿宋" w:hAnsi="仿宋" w:eastAsia="仿宋" w:cs="仿宋"/>
          <w:b w:val="0"/>
          <w:bCs w:val="0"/>
          <w:sz w:val="28"/>
          <w:szCs w:val="28"/>
          <w:lang w:val="en-US" w:eastAsia="zh-CN"/>
        </w:rPr>
        <w:t>由建设主管部门对申请计划进行统计和资金估算，提出资金安排计划，并经班子会议商量。会同县财政局研究并报分管县领导同意，编制下达年度</w:t>
      </w:r>
      <w:r>
        <w:rPr>
          <w:rFonts w:hint="eastAsia" w:ascii="仿宋" w:hAnsi="仿宋" w:eastAsia="仿宋" w:cs="仿宋"/>
          <w:color w:val="000000"/>
          <w:sz w:val="28"/>
          <w:szCs w:val="28"/>
          <w:shd w:val="clear" w:color="auto" w:fill="FFFFFF"/>
          <w:lang w:val="en-US" w:eastAsia="zh-CN"/>
        </w:rPr>
        <w:t>城市基础设施配套费专项资金计划。</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四、项目绩效情况</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通过自查和现场评价，</w:t>
      </w:r>
      <w:r>
        <w:rPr>
          <w:rFonts w:hint="eastAsia" w:ascii="仿宋" w:hAnsi="仿宋" w:eastAsia="仿宋" w:cs="仿宋"/>
          <w:sz w:val="28"/>
          <w:szCs w:val="28"/>
          <w:lang w:eastAsia="zh-CN"/>
        </w:rPr>
        <w:t>从项目</w:t>
      </w:r>
      <w:r>
        <w:rPr>
          <w:rFonts w:hint="eastAsia" w:ascii="仿宋" w:hAnsi="仿宋" w:eastAsia="仿宋" w:cs="仿宋"/>
          <w:sz w:val="28"/>
          <w:szCs w:val="28"/>
          <w:lang w:val="en-US" w:eastAsia="zh-CN"/>
        </w:rPr>
        <w:t>申报、</w:t>
      </w:r>
      <w:r>
        <w:rPr>
          <w:rFonts w:hint="eastAsia" w:ascii="仿宋" w:hAnsi="仿宋" w:eastAsia="仿宋" w:cs="仿宋"/>
          <w:sz w:val="28"/>
          <w:szCs w:val="28"/>
          <w:lang w:eastAsia="zh-CN"/>
        </w:rPr>
        <w:t>业务管理、财务管理、项目产出、项目效益等方面逐项</w:t>
      </w:r>
      <w:r>
        <w:rPr>
          <w:rFonts w:hint="eastAsia" w:ascii="仿宋" w:hAnsi="仿宋" w:eastAsia="仿宋" w:cs="仿宋"/>
          <w:sz w:val="28"/>
          <w:szCs w:val="28"/>
          <w:lang w:val="en-US" w:eastAsia="zh-CN"/>
        </w:rPr>
        <w:t>自</w:t>
      </w:r>
      <w:r>
        <w:rPr>
          <w:rFonts w:hint="eastAsia" w:ascii="仿宋" w:hAnsi="仿宋" w:eastAsia="仿宋" w:cs="仿宋"/>
          <w:sz w:val="28"/>
          <w:szCs w:val="28"/>
          <w:lang w:eastAsia="zh-CN"/>
        </w:rPr>
        <w:t>评，</w:t>
      </w:r>
      <w:r>
        <w:rPr>
          <w:rFonts w:hint="eastAsia" w:ascii="仿宋" w:hAnsi="仿宋" w:eastAsia="仿宋" w:cs="仿宋"/>
          <w:sz w:val="28"/>
          <w:szCs w:val="28"/>
          <w:lang w:val="en-US" w:eastAsia="zh-CN"/>
        </w:rPr>
        <w:t>2019年度隆回县</w:t>
      </w:r>
      <w:r>
        <w:rPr>
          <w:rFonts w:hint="eastAsia" w:ascii="仿宋" w:hAnsi="仿宋" w:eastAsia="仿宋" w:cs="仿宋"/>
          <w:color w:val="000000"/>
          <w:sz w:val="28"/>
          <w:szCs w:val="28"/>
          <w:shd w:val="clear" w:color="auto" w:fill="FFFFFF"/>
          <w:lang w:val="en-US" w:eastAsia="zh-CN"/>
        </w:rPr>
        <w:t>城市基础设施配套费</w:t>
      </w:r>
      <w:r>
        <w:rPr>
          <w:rFonts w:hint="eastAsia" w:ascii="仿宋" w:hAnsi="仿宋" w:eastAsia="仿宋" w:cs="仿宋"/>
          <w:sz w:val="28"/>
          <w:szCs w:val="28"/>
          <w:lang w:val="en-US" w:eastAsia="zh-CN"/>
        </w:rPr>
        <w:t>专项资金</w:t>
      </w:r>
      <w:r>
        <w:rPr>
          <w:rFonts w:hint="eastAsia" w:ascii="仿宋" w:hAnsi="仿宋" w:eastAsia="仿宋" w:cs="仿宋"/>
          <w:sz w:val="28"/>
          <w:szCs w:val="28"/>
          <w:lang w:eastAsia="zh-CN"/>
        </w:rPr>
        <w:t>绩效</w:t>
      </w:r>
      <w:r>
        <w:rPr>
          <w:rFonts w:hint="eastAsia" w:ascii="仿宋" w:hAnsi="仿宋" w:eastAsia="仿宋" w:cs="仿宋"/>
          <w:sz w:val="28"/>
          <w:szCs w:val="28"/>
          <w:lang w:val="en-US" w:eastAsia="zh-CN"/>
        </w:rPr>
        <w:t>为“良”。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textAlignment w:val="auto"/>
        <w:outlineLvl w:val="9"/>
        <w:rPr>
          <w:rFonts w:hint="eastAsia" w:ascii="仿宋" w:hAnsi="仿宋" w:eastAsia="仿宋" w:cs="仿宋"/>
          <w:b w:val="0"/>
          <w:bCs w:val="0"/>
          <w:sz w:val="28"/>
          <w:szCs w:val="28"/>
          <w:lang w:val="en-US" w:eastAsia="zh-CN"/>
        </w:rPr>
      </w:pPr>
      <w:r>
        <w:rPr>
          <w:rStyle w:val="9"/>
          <w:rFonts w:hint="eastAsia" w:ascii="仿宋" w:hAnsi="仿宋" w:eastAsia="仿宋" w:cs="仿宋"/>
          <w:color w:val="333333"/>
          <w:sz w:val="28"/>
          <w:szCs w:val="28"/>
          <w:shd w:val="clear" w:color="auto" w:fill="FFFFFF"/>
          <w:lang w:val="en-US" w:eastAsia="zh-CN"/>
        </w:rPr>
        <w:t>1、</w:t>
      </w:r>
      <w:r>
        <w:rPr>
          <w:rStyle w:val="9"/>
          <w:rFonts w:hint="eastAsia" w:ascii="仿宋" w:hAnsi="仿宋" w:eastAsia="仿宋" w:cs="仿宋"/>
          <w:color w:val="333333"/>
          <w:sz w:val="28"/>
          <w:szCs w:val="28"/>
          <w:shd w:val="clear" w:color="auto" w:fill="FFFFFF"/>
        </w:rPr>
        <w:t>严格专项资金申报程序，合理安排资金</w:t>
      </w:r>
      <w:r>
        <w:rPr>
          <w:rStyle w:val="9"/>
          <w:rFonts w:hint="eastAsia" w:ascii="仿宋" w:hAnsi="仿宋" w:eastAsia="仿宋" w:cs="仿宋"/>
          <w:color w:val="333333"/>
          <w:sz w:val="28"/>
          <w:szCs w:val="28"/>
          <w:shd w:val="clear" w:color="auto" w:fill="FFFFFF"/>
          <w:lang w:eastAsia="zh-CN"/>
        </w:rPr>
        <w:t>。</w:t>
      </w:r>
      <w:r>
        <w:rPr>
          <w:rFonts w:hint="eastAsia" w:ascii="仿宋" w:hAnsi="仿宋" w:eastAsia="仿宋" w:cs="仿宋"/>
          <w:color w:val="333333"/>
          <w:sz w:val="28"/>
          <w:szCs w:val="28"/>
          <w:shd w:val="clear" w:color="auto" w:fill="FFFFFF"/>
        </w:rPr>
        <w:t>项目</w:t>
      </w:r>
      <w:r>
        <w:rPr>
          <w:rFonts w:hint="eastAsia" w:ascii="仿宋" w:hAnsi="仿宋" w:eastAsia="仿宋" w:cs="仿宋"/>
          <w:color w:val="333333"/>
          <w:sz w:val="28"/>
          <w:szCs w:val="28"/>
          <w:shd w:val="clear" w:color="auto" w:fill="FFFFFF"/>
          <w:lang w:eastAsia="zh-CN"/>
        </w:rPr>
        <w:t>实施</w:t>
      </w:r>
      <w:r>
        <w:rPr>
          <w:rFonts w:hint="eastAsia" w:ascii="仿宋" w:hAnsi="仿宋" w:eastAsia="仿宋" w:cs="仿宋"/>
          <w:color w:val="333333"/>
          <w:sz w:val="28"/>
          <w:szCs w:val="28"/>
          <w:shd w:val="clear" w:color="auto" w:fill="FFFFFF"/>
        </w:rPr>
        <w:t>单位根据相关管理办法的规定，按照专项资金的用途及申报程序提交申报材料，明确资金的使用计划及绩效目标，</w:t>
      </w:r>
      <w:r>
        <w:rPr>
          <w:rFonts w:hint="eastAsia" w:ascii="仿宋" w:hAnsi="仿宋" w:eastAsia="仿宋" w:cs="仿宋"/>
          <w:color w:val="333333"/>
          <w:sz w:val="28"/>
          <w:szCs w:val="28"/>
          <w:shd w:val="clear" w:color="auto" w:fill="FFFFFF"/>
          <w:lang w:eastAsia="zh-CN"/>
        </w:rPr>
        <w:t>县财政局、县住房和城乡建设局</w:t>
      </w:r>
      <w:r>
        <w:rPr>
          <w:rFonts w:hint="eastAsia" w:ascii="仿宋" w:hAnsi="仿宋" w:eastAsia="仿宋" w:cs="仿宋"/>
          <w:color w:val="333333"/>
          <w:sz w:val="28"/>
          <w:szCs w:val="28"/>
          <w:shd w:val="clear" w:color="auto" w:fill="FFFFFF"/>
        </w:rPr>
        <w:t>认真审核和论证，在一定范围内征求意见后进行批复，突出</w:t>
      </w:r>
      <w:r>
        <w:rPr>
          <w:rFonts w:hint="eastAsia" w:ascii="仿宋" w:hAnsi="仿宋" w:eastAsia="仿宋" w:cs="仿宋"/>
          <w:color w:val="333333"/>
          <w:sz w:val="28"/>
          <w:szCs w:val="28"/>
          <w:shd w:val="clear" w:color="auto" w:fill="FFFFFF"/>
          <w:lang w:eastAsia="zh-CN"/>
        </w:rPr>
        <w:t>了</w:t>
      </w:r>
      <w:r>
        <w:rPr>
          <w:rFonts w:hint="eastAsia" w:ascii="仿宋" w:hAnsi="仿宋" w:eastAsia="仿宋" w:cs="仿宋"/>
          <w:color w:val="333333"/>
          <w:sz w:val="28"/>
          <w:szCs w:val="28"/>
          <w:shd w:val="clear" w:color="auto" w:fill="FFFFFF"/>
        </w:rPr>
        <w:t>专项资金的引导作用，真正使专项资金用到实处，最大化的发挥</w:t>
      </w:r>
      <w:r>
        <w:rPr>
          <w:rFonts w:hint="eastAsia" w:ascii="仿宋" w:hAnsi="仿宋" w:eastAsia="仿宋" w:cs="仿宋"/>
          <w:color w:val="333333"/>
          <w:sz w:val="28"/>
          <w:szCs w:val="28"/>
          <w:shd w:val="clear" w:color="auto" w:fill="FFFFFF"/>
          <w:lang w:eastAsia="zh-CN"/>
        </w:rPr>
        <w:t>城市基础设施配套费</w:t>
      </w:r>
      <w:r>
        <w:rPr>
          <w:rFonts w:hint="eastAsia" w:ascii="仿宋" w:hAnsi="仿宋" w:eastAsia="仿宋" w:cs="仿宋"/>
          <w:color w:val="333333"/>
          <w:sz w:val="28"/>
          <w:szCs w:val="28"/>
          <w:shd w:val="clear" w:color="auto" w:fill="FFFFFF"/>
        </w:rPr>
        <w:t>专项资金的作用。</w:t>
      </w:r>
    </w:p>
    <w:p>
      <w:pPr>
        <w:keepNext w:val="0"/>
        <w:keepLines w:val="0"/>
        <w:pageBreakBefore w:val="0"/>
        <w:widowControl w:val="0"/>
        <w:numPr>
          <w:ilvl w:val="0"/>
          <w:numId w:val="0"/>
        </w:numPr>
        <w:kinsoku/>
        <w:wordWrap/>
        <w:overflowPunct/>
        <w:topLinePunct w:val="0"/>
        <w:autoSpaceDE/>
        <w:autoSpaceDN/>
        <w:bidi w:val="0"/>
        <w:adjustRightInd/>
        <w:spacing w:line="400" w:lineRule="exact"/>
        <w:ind w:right="0" w:rightChars="0" w:firstLine="562" w:firstLineChars="200"/>
        <w:jc w:val="both"/>
        <w:textAlignment w:val="auto"/>
        <w:outlineLvl w:val="9"/>
        <w:rPr>
          <w:rFonts w:hint="eastAsia" w:ascii="仿宋" w:hAnsi="仿宋" w:eastAsia="仿宋" w:cs="仿宋"/>
          <w:sz w:val="28"/>
          <w:szCs w:val="28"/>
        </w:rPr>
      </w:pPr>
      <w:r>
        <w:rPr>
          <w:rStyle w:val="10"/>
          <w:rFonts w:hint="eastAsia" w:ascii="仿宋" w:hAnsi="仿宋" w:eastAsia="仿宋" w:cs="仿宋"/>
          <w:b/>
          <w:bCs w:val="0"/>
          <w:sz w:val="28"/>
          <w:szCs w:val="28"/>
          <w:lang w:val="en-US" w:eastAsia="zh-CN"/>
        </w:rPr>
        <w:t>2、</w:t>
      </w:r>
      <w:r>
        <w:rPr>
          <w:rStyle w:val="10"/>
          <w:rFonts w:hint="eastAsia" w:ascii="仿宋" w:hAnsi="仿宋" w:eastAsia="仿宋" w:cs="仿宋"/>
          <w:b/>
          <w:bCs w:val="0"/>
          <w:sz w:val="28"/>
          <w:szCs w:val="28"/>
          <w:lang w:eastAsia="zh-CN"/>
        </w:rPr>
        <w:t>实施项目细化、覆盖范围广。</w:t>
      </w:r>
      <w:r>
        <w:rPr>
          <w:rFonts w:hint="eastAsia" w:ascii="仿宋" w:hAnsi="仿宋" w:eastAsia="仿宋" w:cs="仿宋"/>
          <w:sz w:val="28"/>
          <w:szCs w:val="28"/>
        </w:rPr>
        <w:t>对</w:t>
      </w:r>
      <w:r>
        <w:rPr>
          <w:rFonts w:hint="eastAsia" w:ascii="仿宋" w:hAnsi="仿宋" w:eastAsia="仿宋" w:cs="仿宋"/>
          <w:sz w:val="28"/>
          <w:szCs w:val="28"/>
          <w:lang w:eastAsia="zh-CN"/>
        </w:rPr>
        <w:t>乡镇的公共设施维护建设补助项目明确到具体的组，村，共包括</w:t>
      </w:r>
      <w:r>
        <w:rPr>
          <w:rFonts w:hint="eastAsia" w:ascii="仿宋" w:hAnsi="仿宋" w:eastAsia="仿宋" w:cs="仿宋"/>
          <w:sz w:val="28"/>
          <w:szCs w:val="28"/>
          <w:lang w:val="en-US" w:eastAsia="zh-CN"/>
        </w:rPr>
        <w:t>22个乡镇，涵盖到排水设施建设、产业道路建设、路灯建设、自来水引水工程、排污管网建设、美丽乡村建设等公共设施维护建设。对</w:t>
      </w:r>
      <w:r>
        <w:rPr>
          <w:rFonts w:hint="eastAsia" w:ascii="仿宋" w:hAnsi="仿宋" w:eastAsia="仿宋" w:cs="仿宋"/>
          <w:sz w:val="28"/>
          <w:szCs w:val="28"/>
        </w:rPr>
        <w:t>推动</w:t>
      </w:r>
      <w:r>
        <w:rPr>
          <w:rFonts w:hint="eastAsia" w:ascii="仿宋" w:hAnsi="仿宋" w:eastAsia="仿宋" w:cs="仿宋"/>
          <w:sz w:val="28"/>
          <w:szCs w:val="28"/>
          <w:lang w:val="en-US" w:eastAsia="zh-CN"/>
        </w:rPr>
        <w:t>隆回县</w:t>
      </w:r>
      <w:r>
        <w:rPr>
          <w:rFonts w:hint="eastAsia" w:ascii="仿宋" w:hAnsi="仿宋" w:eastAsia="仿宋" w:cs="仿宋"/>
          <w:sz w:val="28"/>
          <w:szCs w:val="28"/>
          <w:lang w:eastAsia="zh-CN"/>
        </w:rPr>
        <w:t>经济社会</w:t>
      </w:r>
      <w:r>
        <w:rPr>
          <w:rFonts w:hint="eastAsia" w:ascii="仿宋" w:hAnsi="仿宋" w:eastAsia="仿宋" w:cs="仿宋"/>
          <w:sz w:val="28"/>
          <w:szCs w:val="28"/>
        </w:rPr>
        <w:t>发展起到了一定作用。</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五、存在的问题</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kern w:val="2"/>
          <w:sz w:val="28"/>
          <w:szCs w:val="28"/>
          <w:lang w:val="en-US" w:eastAsia="zh-CN" w:bidi="ar-SA"/>
        </w:rPr>
        <w:t xml:space="preserve">   </w:t>
      </w:r>
      <w:r>
        <w:rPr>
          <w:rFonts w:hint="eastAsia" w:ascii="仿宋" w:hAnsi="仿宋" w:eastAsia="仿宋" w:cs="仿宋"/>
          <w:sz w:val="28"/>
          <w:szCs w:val="28"/>
          <w:lang w:val="en-US" w:eastAsia="zh-CN"/>
        </w:rPr>
        <w:t>从项目检查情况看，总体较好，但也存在一些问题，主要表现如下：</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2" w:firstLineChars="200"/>
        <w:jc w:val="both"/>
        <w:textAlignment w:val="auto"/>
        <w:outlineLvl w:val="9"/>
        <w:rPr>
          <w:rFonts w:hint="eastAsia" w:ascii="仿宋" w:hAnsi="仿宋" w:eastAsia="仿宋" w:cs="仿宋"/>
          <w:b/>
          <w:kern w:val="2"/>
          <w:sz w:val="28"/>
          <w:szCs w:val="28"/>
          <w:lang w:val="en-US" w:eastAsia="zh-CN" w:bidi="ar-SA"/>
        </w:rPr>
      </w:pPr>
      <w:r>
        <w:rPr>
          <w:rStyle w:val="10"/>
          <w:rFonts w:hint="eastAsia" w:ascii="仿宋" w:hAnsi="仿宋" w:eastAsia="仿宋" w:cs="仿宋"/>
          <w:sz w:val="28"/>
          <w:szCs w:val="28"/>
          <w:lang w:val="en-US" w:eastAsia="zh-CN"/>
        </w:rPr>
        <w:t>1、项目申报条件有待进一步完善。</w:t>
      </w:r>
      <w:r>
        <w:rPr>
          <w:rFonts w:hint="eastAsia" w:ascii="仿宋" w:hAnsi="仿宋" w:eastAsia="仿宋" w:cs="仿宋"/>
          <w:sz w:val="28"/>
          <w:szCs w:val="28"/>
          <w:lang w:val="en-US" w:eastAsia="zh-CN"/>
        </w:rPr>
        <w:t xml:space="preserve">现有项目申报条件相对简单，对项目自筹资金投入，项目质量，配套设施，后期管理没有明确具体规定。 </w:t>
      </w:r>
      <w:r>
        <w:rPr>
          <w:rFonts w:hint="eastAsia" w:ascii="仿宋" w:hAnsi="仿宋" w:eastAsia="仿宋" w:cs="仿宋"/>
          <w:b/>
          <w:kern w:val="2"/>
          <w:sz w:val="28"/>
          <w:szCs w:val="2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kern w:val="2"/>
          <w:sz w:val="28"/>
          <w:szCs w:val="28"/>
          <w:lang w:val="en-US" w:eastAsia="zh-CN" w:bidi="ar-SA"/>
        </w:rPr>
        <w:t>2、项目需求多，资金缺口大。</w:t>
      </w:r>
    </w:p>
    <w:p>
      <w:pPr>
        <w:pStyle w:val="2"/>
        <w:pageBreakBefore w:val="0"/>
        <w:widowControl w:val="0"/>
        <w:kinsoku/>
        <w:overflowPunct/>
        <w:topLinePunct w:val="0"/>
        <w:autoSpaceDE/>
        <w:autoSpaceDN/>
        <w:bidi w:val="0"/>
        <w:adjustRightInd/>
        <w:spacing w:before="0" w:beforeLines="0" w:after="0" w:afterLines="0" w:line="400" w:lineRule="exact"/>
        <w:ind w:left="0" w:leftChars="0"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六、改进措施及</w:t>
      </w:r>
      <w:r>
        <w:rPr>
          <w:rStyle w:val="10"/>
          <w:rFonts w:hint="eastAsia" w:ascii="仿宋" w:hAnsi="仿宋" w:eastAsia="仿宋" w:cs="仿宋"/>
          <w:b/>
          <w:bCs/>
          <w:sz w:val="28"/>
          <w:szCs w:val="28"/>
          <w:lang w:val="en-US" w:eastAsia="zh-CN"/>
        </w:rPr>
        <w:t>有关建议</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2" w:firstLineChars="200"/>
        <w:jc w:val="both"/>
        <w:textAlignment w:val="auto"/>
        <w:outlineLvl w:val="9"/>
        <w:rPr>
          <w:rStyle w:val="10"/>
          <w:rFonts w:hint="eastAsia" w:ascii="仿宋" w:hAnsi="仿宋" w:eastAsia="仿宋" w:cs="仿宋"/>
          <w:sz w:val="28"/>
          <w:szCs w:val="28"/>
          <w:lang w:val="en-US" w:eastAsia="zh-CN"/>
        </w:rPr>
      </w:pPr>
      <w:r>
        <w:rPr>
          <w:rStyle w:val="10"/>
          <w:rFonts w:hint="eastAsia" w:ascii="仿宋" w:hAnsi="仿宋" w:eastAsia="仿宋" w:cs="仿宋"/>
          <w:sz w:val="28"/>
          <w:szCs w:val="28"/>
          <w:lang w:val="en-US" w:eastAsia="zh-CN"/>
        </w:rPr>
        <w:t>1、完善项目申报条件，明确项目审核及公示制度。</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0" w:firstLineChars="20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kern w:val="2"/>
          <w:sz w:val="28"/>
          <w:szCs w:val="28"/>
          <w:lang w:val="en-US" w:eastAsia="zh-CN" w:bidi="ar-SA"/>
        </w:rPr>
        <w:t>对申报的项目应制定有明确的完善的申报条件，申报条件对项目质量，</w:t>
      </w:r>
      <w:r>
        <w:rPr>
          <w:rFonts w:hint="eastAsia" w:ascii="仿宋" w:hAnsi="仿宋" w:eastAsia="仿宋" w:cs="仿宋"/>
          <w:b w:val="0"/>
          <w:bCs/>
          <w:sz w:val="28"/>
          <w:szCs w:val="28"/>
          <w:lang w:val="en-US" w:eastAsia="zh-CN"/>
        </w:rPr>
        <w:t>配套设施，后期管理应有明确具体规定。</w:t>
      </w:r>
      <w:r>
        <w:rPr>
          <w:rFonts w:hint="eastAsia" w:ascii="仿宋" w:hAnsi="仿宋" w:eastAsia="仿宋" w:cs="仿宋"/>
          <w:b w:val="0"/>
          <w:bCs/>
          <w:kern w:val="2"/>
          <w:sz w:val="28"/>
          <w:szCs w:val="28"/>
          <w:lang w:val="en-US" w:eastAsia="zh-CN" w:bidi="ar-SA"/>
        </w:rPr>
        <w:t>规范审核程序，</w:t>
      </w:r>
      <w:r>
        <w:rPr>
          <w:rFonts w:hint="eastAsia" w:ascii="仿宋" w:hAnsi="仿宋" w:eastAsia="仿宋" w:cs="仿宋"/>
          <w:b w:val="0"/>
          <w:bCs/>
          <w:sz w:val="28"/>
          <w:szCs w:val="28"/>
          <w:lang w:val="en-US" w:eastAsia="zh-CN"/>
        </w:rPr>
        <w:t>符合项目申报条件的项目应组织相关专家评审，并应对项目进行现场踏勘，对不符合条件项目不予受理。对符合条件项目公示。</w:t>
      </w:r>
    </w:p>
    <w:p>
      <w:pPr>
        <w:pStyle w:val="6"/>
        <w:keepNext w:val="0"/>
        <w:keepLines w:val="0"/>
        <w:pageBreakBefore w:val="0"/>
        <w:widowControl/>
        <w:suppressLineNumbers w:val="0"/>
        <w:kinsoku/>
        <w:overflowPunct/>
        <w:topLinePunct w:val="0"/>
        <w:autoSpaceDE/>
        <w:autoSpaceDN/>
        <w:bidi w:val="0"/>
        <w:adjustRightInd/>
        <w:spacing w:before="0" w:beforeAutospacing="0" w:after="0" w:afterAutospacing="0" w:line="400" w:lineRule="exact"/>
        <w:ind w:left="0" w:right="0" w:firstLine="645"/>
        <w:jc w:val="both"/>
        <w:textAlignment w:val="auto"/>
        <w:rPr>
          <w:rFonts w:hint="eastAsia" w:ascii="仿宋" w:hAnsi="仿宋" w:eastAsia="仿宋" w:cs="仿宋"/>
          <w:sz w:val="28"/>
          <w:szCs w:val="28"/>
        </w:rPr>
      </w:pPr>
      <w:r>
        <w:rPr>
          <w:rStyle w:val="10"/>
          <w:rFonts w:hint="eastAsia" w:ascii="仿宋" w:hAnsi="仿宋" w:eastAsia="仿宋" w:cs="仿宋"/>
          <w:sz w:val="28"/>
          <w:szCs w:val="28"/>
          <w:lang w:val="en-US" w:eastAsia="zh-CN"/>
        </w:rPr>
        <w:t>2、</w:t>
      </w:r>
      <w:r>
        <w:rPr>
          <w:rStyle w:val="9"/>
          <w:rFonts w:hint="eastAsia" w:ascii="仿宋" w:hAnsi="仿宋" w:eastAsia="仿宋" w:cs="仿宋"/>
          <w:color w:val="333333"/>
          <w:sz w:val="28"/>
          <w:szCs w:val="28"/>
          <w:shd w:val="clear" w:color="auto" w:fill="FFFFFF"/>
        </w:rPr>
        <w:t>加强资金的后续监管，对资金使用情况及效果进行跟踪</w:t>
      </w:r>
    </w:p>
    <w:p>
      <w:pPr>
        <w:pStyle w:val="6"/>
        <w:keepNext w:val="0"/>
        <w:keepLines w:val="0"/>
        <w:pageBreakBefore w:val="0"/>
        <w:widowControl/>
        <w:suppressLineNumbers w:val="0"/>
        <w:kinsoku/>
        <w:overflowPunct/>
        <w:topLinePunct w:val="0"/>
        <w:autoSpaceDE/>
        <w:autoSpaceDN/>
        <w:bidi w:val="0"/>
        <w:adjustRightInd/>
        <w:spacing w:before="0" w:beforeAutospacing="0" w:after="0" w:afterAutospacing="0" w:line="400" w:lineRule="exact"/>
        <w:ind w:left="0" w:right="0" w:firstLine="645"/>
        <w:jc w:val="both"/>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主管部门在做好项目计划和资金安排的同时，也需要加强对专项资金的后续监管，包括资金到位、使用情况，项目执行及进度情况，项目完成情况及产生效益等，对项目情况清晰掌握，及时调整，确保专项资金发挥最大效用。</w:t>
      </w:r>
    </w:p>
    <w:p>
      <w:pPr>
        <w:keepNext w:val="0"/>
        <w:keepLines w:val="0"/>
        <w:pageBreakBefore w:val="0"/>
        <w:widowControl w:val="0"/>
        <w:numPr>
          <w:ilvl w:val="0"/>
          <w:numId w:val="0"/>
        </w:numPr>
        <w:kinsoku/>
        <w:wordWrap/>
        <w:overflowPunct/>
        <w:topLinePunct w:val="0"/>
        <w:autoSpaceDE/>
        <w:autoSpaceDN/>
        <w:bidi w:val="0"/>
        <w:adjustRightInd/>
        <w:spacing w:line="400" w:lineRule="exact"/>
        <w:ind w:left="0" w:leftChars="0" w:right="0" w:rightChars="0" w:firstLine="562"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color w:val="333333"/>
          <w:sz w:val="28"/>
          <w:szCs w:val="28"/>
          <w:shd w:val="clear" w:color="auto" w:fill="FFFFFF"/>
          <w:lang w:val="en-US" w:eastAsia="zh-CN"/>
        </w:rPr>
        <w:t>3、</w:t>
      </w:r>
      <w:r>
        <w:rPr>
          <w:rFonts w:hint="eastAsia" w:ascii="仿宋" w:hAnsi="仿宋" w:eastAsia="仿宋" w:cs="仿宋"/>
          <w:b w:val="0"/>
          <w:bCs/>
          <w:kern w:val="2"/>
          <w:sz w:val="28"/>
          <w:szCs w:val="28"/>
          <w:lang w:val="en-US" w:eastAsia="zh-CN" w:bidi="ar-SA"/>
        </w:rPr>
        <w:t>建议</w:t>
      </w:r>
      <w:r>
        <w:rPr>
          <w:rFonts w:hint="eastAsia" w:ascii="仿宋" w:hAnsi="仿宋" w:eastAsia="仿宋" w:cs="仿宋"/>
          <w:sz w:val="28"/>
          <w:szCs w:val="28"/>
        </w:rPr>
        <w:t>取消对房地产业的城市基础设施配套费（以下简称配套费）征收优惠政策，按现行政策规定足额征收，以弥补城市维护建设资金不足。目前我县对房地产类配套费征收标准一直沿用《隆回县规范城区基本建设收费暂行规定》（隆政发[2009]8号）、《隆回县人民政府关于在县政务服务中心窗口单位全面推行刚性收费的通知》（隆政发[2009]9号）优惠政策，与现行规定标准（上年商品房平均销售价格*0.8％或1.6％）和周边兄弟县执行标准（如洞口县住宅按16.2元/㎡、其他按32.4元/㎡，）有比较大的差距。建议新的征收标准住宅按32元/㎡、其他按64元/㎡，</w:t>
      </w:r>
    </w:p>
    <w:p>
      <w:pPr>
        <w:pStyle w:val="6"/>
        <w:keepNext w:val="0"/>
        <w:keepLines w:val="0"/>
        <w:pageBreakBefore w:val="0"/>
        <w:widowControl/>
        <w:suppressLineNumbers w:val="0"/>
        <w:kinsoku/>
        <w:overflowPunct/>
        <w:topLinePunct w:val="0"/>
        <w:autoSpaceDE/>
        <w:autoSpaceDN/>
        <w:bidi w:val="0"/>
        <w:adjustRightInd/>
        <w:spacing w:before="0" w:beforeAutospacing="0" w:after="0" w:afterAutospacing="0" w:line="400" w:lineRule="exact"/>
        <w:ind w:left="0" w:right="0" w:firstLine="645"/>
        <w:jc w:val="both"/>
        <w:textAlignment w:val="auto"/>
        <w:rPr>
          <w:rFonts w:hint="eastAsia" w:ascii="仿宋" w:hAnsi="仿宋" w:eastAsia="仿宋" w:cs="仿宋"/>
          <w:color w:val="333333"/>
          <w:sz w:val="28"/>
          <w:szCs w:val="28"/>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val="0"/>
        <w:spacing w:line="400" w:lineRule="exact"/>
        <w:ind w:left="0" w:leftChars="0" w:right="0" w:rightChars="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隆回县住房和城乡建设局(人防办）</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0" w:leftChars="0"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2020年4月2日 </w:t>
      </w:r>
      <w:bookmarkStart w:id="0" w:name="_GoBack"/>
      <w:bookmarkEnd w:id="0"/>
    </w:p>
    <w:p>
      <w:pPr>
        <w:pageBreakBefore w:val="0"/>
        <w:kinsoku/>
        <w:overflowPunct/>
        <w:topLinePunct w:val="0"/>
        <w:autoSpaceDE/>
        <w:autoSpaceDN/>
        <w:bidi w:val="0"/>
        <w:adjustRightInd/>
        <w:spacing w:line="400" w:lineRule="exact"/>
        <w:textAlignment w:val="auto"/>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40DEC"/>
    <w:rsid w:val="41924C72"/>
    <w:rsid w:val="46C16DFF"/>
    <w:rsid w:val="495F6383"/>
    <w:rsid w:val="5FE67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character" w:customStyle="1" w:styleId="10">
    <w:name w:val="标题 3 Char"/>
    <w:link w:val="3"/>
    <w:qFormat/>
    <w:uiPriority w:val="0"/>
    <w:rPr>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2020-04-07T09:06:00Z</cp:lastPrinted>
  <dcterms:modified xsi:type="dcterms:W3CDTF">2020-04-09T07:23:47Z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