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eastAsia"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>附件3</w:t>
      </w:r>
    </w:p>
    <w:p>
      <w:pPr>
        <w:spacing w:line="600" w:lineRule="exact"/>
        <w:jc w:val="center"/>
        <w:rPr>
          <w:rFonts w:hint="eastAsia" w:ascii="方正大标宋简体" w:hAnsi="方正大标宋简体" w:eastAsia="方正大标宋简体" w:cs="方正大标宋简体"/>
          <w:bCs/>
          <w:kern w:val="0"/>
          <w:sz w:val="32"/>
          <w:szCs w:val="32"/>
        </w:rPr>
      </w:pPr>
      <w:r>
        <w:rPr>
          <w:rFonts w:hint="eastAsia" w:ascii="方正大标宋简体" w:hAnsi="方正大标宋简体" w:eastAsia="方正大标宋简体" w:cs="方正大标宋简体"/>
          <w:bCs/>
          <w:kern w:val="0"/>
          <w:sz w:val="32"/>
          <w:szCs w:val="32"/>
          <w:lang w:eastAsia="zh-CN"/>
        </w:rPr>
        <w:t>202</w:t>
      </w:r>
      <w:r>
        <w:rPr>
          <w:rFonts w:hint="eastAsia" w:ascii="方正大标宋简体" w:hAnsi="方正大标宋简体" w:eastAsia="方正大标宋简体" w:cs="方正大标宋简体"/>
          <w:bCs/>
          <w:kern w:val="0"/>
          <w:sz w:val="32"/>
          <w:szCs w:val="32"/>
          <w:lang w:val="en-US" w:eastAsia="zh-CN"/>
        </w:rPr>
        <w:t>2</w:t>
      </w:r>
      <w:r>
        <w:rPr>
          <w:rFonts w:hint="eastAsia" w:ascii="方正大标宋简体" w:hAnsi="方正大标宋简体" w:eastAsia="方正大标宋简体" w:cs="方正大标宋简体"/>
          <w:bCs/>
          <w:kern w:val="0"/>
          <w:sz w:val="32"/>
          <w:szCs w:val="32"/>
        </w:rPr>
        <w:t>年度部门整体支出绩效自评基础数据表</w:t>
      </w:r>
    </w:p>
    <w:p>
      <w:pPr>
        <w:pStyle w:val="2"/>
        <w:ind w:left="0" w:leftChars="0" w:firstLine="0" w:firstLineChars="0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lang w:eastAsia="zh-CN"/>
        </w:rPr>
        <w:t>单位名称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(盖章）:中共隆回县委组织部</w:t>
      </w:r>
    </w:p>
    <w:tbl>
      <w:tblPr>
        <w:tblStyle w:val="6"/>
        <w:tblW w:w="92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"/>
        <w:gridCol w:w="1168"/>
        <w:gridCol w:w="2372"/>
        <w:gridCol w:w="605"/>
        <w:gridCol w:w="567"/>
        <w:gridCol w:w="992"/>
        <w:gridCol w:w="560"/>
        <w:gridCol w:w="7"/>
        <w:gridCol w:w="993"/>
        <w:gridCol w:w="494"/>
        <w:gridCol w:w="9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exact"/>
          <w:jc w:val="center"/>
        </w:trPr>
        <w:tc>
          <w:tcPr>
            <w:tcW w:w="533" w:type="dxa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基本情况</w:t>
            </w:r>
          </w:p>
        </w:tc>
        <w:tc>
          <w:tcPr>
            <w:tcW w:w="116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编制人数</w:t>
            </w:r>
          </w:p>
        </w:tc>
        <w:tc>
          <w:tcPr>
            <w:tcW w:w="2977" w:type="dxa"/>
            <w:gridSpan w:val="2"/>
            <w:noWrap w:val="0"/>
            <w:vAlign w:val="top"/>
          </w:tcPr>
          <w:p>
            <w:pPr>
              <w:spacing w:line="540" w:lineRule="exact"/>
              <w:ind w:firstLine="105" w:firstLineChars="50"/>
              <w:jc w:val="left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51</w:t>
            </w: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ind w:firstLine="105" w:firstLineChars="50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实有人数</w:t>
            </w:r>
          </w:p>
        </w:tc>
        <w:tc>
          <w:tcPr>
            <w:tcW w:w="2976" w:type="dxa"/>
            <w:gridSpan w:val="5"/>
            <w:noWrap w:val="0"/>
            <w:vAlign w:val="top"/>
          </w:tcPr>
          <w:p>
            <w:pPr>
              <w:spacing w:line="540" w:lineRule="exact"/>
              <w:ind w:firstLine="105" w:firstLineChars="50"/>
              <w:jc w:val="left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0" w:hRule="exact"/>
          <w:jc w:val="center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部门职能概述</w:t>
            </w:r>
          </w:p>
        </w:tc>
        <w:tc>
          <w:tcPr>
            <w:tcW w:w="7512" w:type="dxa"/>
            <w:gridSpan w:val="9"/>
            <w:noWrap w:val="0"/>
            <w:vAlign w:val="top"/>
          </w:tcPr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</w:rPr>
              <w:t>落实新时代党的组织路线、方针和政策，对全县组织工作进行督促检查，及时向县委和市委组织部报告组织工作重要情况。制定和落实加强党的基层组织建设措施，指导全县党的基层组织建设。对全县领导班子和干部队伍建设进行宏观管理，协助县委统管全县干部工作。制订干部教育工作规划。制订或参与制订有关人才工作的政策、规定，指导、协调、检査人才工作；负责全县国家公务员制度及参照国家公务员管理制度的组织实施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exact"/>
          <w:jc w:val="center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168" w:type="dxa"/>
            <w:vMerge w:val="restart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年度收入（万元）</w:t>
            </w:r>
          </w:p>
        </w:tc>
        <w:tc>
          <w:tcPr>
            <w:tcW w:w="237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县财政预算安排</w:t>
            </w:r>
          </w:p>
        </w:tc>
        <w:tc>
          <w:tcPr>
            <w:tcW w:w="117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1893.22</w:t>
            </w:r>
          </w:p>
        </w:tc>
        <w:tc>
          <w:tcPr>
            <w:tcW w:w="1552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非税收入</w:t>
            </w:r>
          </w:p>
        </w:tc>
        <w:tc>
          <w:tcPr>
            <w:tcW w:w="1000" w:type="dxa"/>
            <w:gridSpan w:val="2"/>
            <w:noWrap w:val="0"/>
            <w:vAlign w:val="top"/>
          </w:tcPr>
          <w:p>
            <w:pPr>
              <w:spacing w:line="560" w:lineRule="exact"/>
              <w:jc w:val="left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494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合计</w:t>
            </w:r>
          </w:p>
        </w:tc>
        <w:tc>
          <w:tcPr>
            <w:tcW w:w="922" w:type="dxa"/>
            <w:vMerge w:val="restart"/>
            <w:noWrap w:val="0"/>
            <w:vAlign w:val="top"/>
          </w:tcPr>
          <w:p>
            <w:pPr>
              <w:spacing w:line="560" w:lineRule="exact"/>
              <w:jc w:val="left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1893.22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exact"/>
          <w:jc w:val="center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168" w:type="dxa"/>
            <w:vMerge w:val="continue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37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中央省市安排资金</w:t>
            </w:r>
          </w:p>
        </w:tc>
        <w:tc>
          <w:tcPr>
            <w:tcW w:w="117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552" w:type="dxa"/>
            <w:gridSpan w:val="2"/>
            <w:noWrap w:val="0"/>
            <w:vAlign w:val="center"/>
          </w:tcPr>
          <w:p>
            <w:pPr>
              <w:spacing w:line="560" w:lineRule="exact"/>
              <w:ind w:firstLine="315" w:firstLineChars="150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其他收入</w:t>
            </w:r>
          </w:p>
        </w:tc>
        <w:tc>
          <w:tcPr>
            <w:tcW w:w="1000" w:type="dxa"/>
            <w:gridSpan w:val="2"/>
            <w:noWrap w:val="0"/>
            <w:vAlign w:val="top"/>
          </w:tcPr>
          <w:p>
            <w:pPr>
              <w:spacing w:line="560" w:lineRule="exact"/>
              <w:jc w:val="left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494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922" w:type="dxa"/>
            <w:vMerge w:val="continue"/>
            <w:noWrap w:val="0"/>
            <w:vAlign w:val="top"/>
          </w:tcPr>
          <w:p>
            <w:pPr>
              <w:spacing w:line="560" w:lineRule="exact"/>
              <w:jc w:val="left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exact"/>
          <w:jc w:val="center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16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年度支出</w:t>
            </w:r>
          </w:p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（万元）</w:t>
            </w:r>
          </w:p>
        </w:tc>
        <w:tc>
          <w:tcPr>
            <w:tcW w:w="237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基本支出</w:t>
            </w:r>
          </w:p>
        </w:tc>
        <w:tc>
          <w:tcPr>
            <w:tcW w:w="117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646.48</w:t>
            </w:r>
          </w:p>
        </w:tc>
        <w:tc>
          <w:tcPr>
            <w:tcW w:w="1559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项目支出</w:t>
            </w:r>
          </w:p>
        </w:tc>
        <w:tc>
          <w:tcPr>
            <w:tcW w:w="99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1246.74</w:t>
            </w:r>
          </w:p>
        </w:tc>
        <w:tc>
          <w:tcPr>
            <w:tcW w:w="49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合计</w:t>
            </w:r>
          </w:p>
        </w:tc>
        <w:tc>
          <w:tcPr>
            <w:tcW w:w="92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1893.22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exact"/>
          <w:jc w:val="center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16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372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其中三公经费支出</w:t>
            </w:r>
          </w:p>
        </w:tc>
        <w:tc>
          <w:tcPr>
            <w:tcW w:w="117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11.79</w:t>
            </w:r>
          </w:p>
        </w:tc>
        <w:tc>
          <w:tcPr>
            <w:tcW w:w="1559" w:type="dxa"/>
            <w:gridSpan w:val="3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993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49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92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6" w:hRule="exact"/>
          <w:jc w:val="center"/>
        </w:trPr>
        <w:tc>
          <w:tcPr>
            <w:tcW w:w="533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实施情况</w:t>
            </w:r>
          </w:p>
        </w:tc>
        <w:tc>
          <w:tcPr>
            <w:tcW w:w="116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财政供养人员控制情况</w:t>
            </w:r>
          </w:p>
        </w:tc>
        <w:tc>
          <w:tcPr>
            <w:tcW w:w="7512" w:type="dxa"/>
            <w:gridSpan w:val="9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是否存在超编超配人员：   是□     否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7" w:hRule="exact"/>
          <w:jc w:val="center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三公经费管理情况</w:t>
            </w:r>
          </w:p>
        </w:tc>
        <w:tc>
          <w:tcPr>
            <w:tcW w:w="7512" w:type="dxa"/>
            <w:gridSpan w:val="9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是否制定“三公”经费管理办法：是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☑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     否□</w:t>
            </w:r>
          </w:p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招待费用是否明确招待标准和招待人数：是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☑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     否□</w:t>
            </w:r>
          </w:p>
          <w:p>
            <w:pPr>
              <w:jc w:val="left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公务用车购置运行费是否比上年度下降: 是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☑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    否□</w:t>
            </w:r>
          </w:p>
          <w:p>
            <w:pPr>
              <w:jc w:val="left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三公经费是否比年度下降：是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☑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5" w:hRule="exact"/>
          <w:jc w:val="center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非税收入完成情况</w:t>
            </w:r>
          </w:p>
        </w:tc>
        <w:tc>
          <w:tcPr>
            <w:tcW w:w="7512" w:type="dxa"/>
            <w:gridSpan w:val="9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年度非税收入是否完成: 是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☑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    否□</w:t>
            </w:r>
          </w:p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是否实行收支两条线管理：是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☑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     否□</w:t>
            </w:r>
          </w:p>
          <w:p>
            <w:pPr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有无截留、坐支、转移等现象:有□     无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4" w:hRule="exact"/>
          <w:jc w:val="center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政府采购及金额</w:t>
            </w:r>
          </w:p>
        </w:tc>
        <w:tc>
          <w:tcPr>
            <w:tcW w:w="7512" w:type="dxa"/>
            <w:gridSpan w:val="9"/>
            <w:noWrap w:val="0"/>
            <w:vAlign w:val="center"/>
          </w:tcPr>
          <w:p>
            <w:pPr>
              <w:spacing w:line="360" w:lineRule="exact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年度是否制定了政府采购计划：是 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☑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    □否</w:t>
            </w:r>
          </w:p>
          <w:p>
            <w:pPr>
              <w:spacing w:line="360" w:lineRule="exact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应采购金额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100</w:t>
            </w:r>
            <w:r>
              <w:rPr>
                <w:rFonts w:hint="eastAsia" w:ascii="仿宋" w:hAnsi="仿宋" w:eastAsia="仿宋" w:cs="仿宋"/>
                <w:szCs w:val="21"/>
              </w:rPr>
              <w:t>万元，实际采购金额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86.63</w:t>
            </w:r>
            <w:r>
              <w:rPr>
                <w:rFonts w:hint="eastAsia" w:ascii="仿宋" w:hAnsi="仿宋" w:eastAsia="仿宋" w:cs="仿宋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40" w:hRule="exact"/>
          <w:jc w:val="center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预算执行</w:t>
            </w:r>
          </w:p>
        </w:tc>
        <w:tc>
          <w:tcPr>
            <w:tcW w:w="7512" w:type="dxa"/>
            <w:gridSpan w:val="9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本年度是否追加了预算:是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☑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  否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☑</w:t>
            </w:r>
            <w:r>
              <w:rPr>
                <w:rFonts w:hint="eastAsia" w:ascii="仿宋" w:hAnsi="仿宋" w:eastAsia="仿宋" w:cs="仿宋"/>
                <w:szCs w:val="21"/>
              </w:rPr>
              <w:t>, 追加金额    万元</w:t>
            </w:r>
          </w:p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本年度是否有结余: 是□   否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☑</w:t>
            </w:r>
            <w:r>
              <w:rPr>
                <w:rFonts w:hint="eastAsia" w:ascii="仿宋" w:hAnsi="仿宋" w:eastAsia="仿宋" w:cs="仿宋"/>
                <w:szCs w:val="21"/>
              </w:rPr>
              <w:t>,结余金额     万元</w:t>
            </w:r>
          </w:p>
          <w:p>
            <w:pPr>
              <w:jc w:val="left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预决算信息是否公开: 是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☑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   否□</w:t>
            </w:r>
          </w:p>
          <w:p>
            <w:pPr>
              <w:jc w:val="left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公开时间:  年   月  日</w:t>
            </w:r>
          </w:p>
          <w:p>
            <w:pPr>
              <w:jc w:val="left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公开方式:门户网站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☑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     单位内部□      其它□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90" w:hRule="exact"/>
          <w:jc w:val="center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预算绩效管理</w:t>
            </w:r>
          </w:p>
        </w:tc>
        <w:tc>
          <w:tcPr>
            <w:tcW w:w="7512" w:type="dxa"/>
            <w:gridSpan w:val="9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部门预算和专项资金是否编制绩效目标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: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 是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☑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    否□</w:t>
            </w:r>
          </w:p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是否开展绩效运行监控：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 是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☑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    否□</w:t>
            </w:r>
          </w:p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是否开展绩效评价：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 是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☑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    否□</w:t>
            </w:r>
          </w:p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年度绩效目标和绩效评价报告是否信息公开：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 是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☑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    否□</w:t>
            </w:r>
          </w:p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上年度绩效评价反馈的问题是否整改到位：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 是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☑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    否□</w:t>
            </w:r>
          </w:p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绩效监控发现的问题是否及时纠正：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 是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☑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    否□</w:t>
            </w:r>
          </w:p>
          <w:p>
            <w:pPr>
              <w:jc w:val="left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8" w:hRule="exact"/>
          <w:jc w:val="center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spacing w:line="240" w:lineRule="atLeast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财务管理</w:t>
            </w:r>
          </w:p>
        </w:tc>
        <w:tc>
          <w:tcPr>
            <w:tcW w:w="7512" w:type="dxa"/>
            <w:gridSpan w:val="9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</w:rPr>
              <w:t>会计机构</w:t>
            </w:r>
            <w:r>
              <w:rPr>
                <w:rFonts w:hint="eastAsia" w:ascii="仿宋" w:hAnsi="仿宋" w:eastAsia="仿宋" w:cs="仿宋"/>
                <w:lang w:eastAsia="zh-CN"/>
              </w:rPr>
              <w:t>或会计人员</w:t>
            </w:r>
            <w:r>
              <w:rPr>
                <w:rFonts w:hint="eastAsia" w:ascii="仿宋" w:hAnsi="仿宋" w:eastAsia="仿宋" w:cs="仿宋"/>
              </w:rPr>
              <w:t>是否按规定设置: 是</w:t>
            </w:r>
            <w:r>
              <w:rPr>
                <w:rFonts w:hint="eastAsia" w:ascii="仿宋" w:hAnsi="仿宋" w:eastAsia="仿宋" w:cs="仿宋"/>
                <w:lang w:eastAsia="zh-CN"/>
              </w:rPr>
              <w:t>☑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</w:rPr>
              <w:t>否□</w:t>
            </w:r>
          </w:p>
          <w:p>
            <w:pPr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会计核算是否严格执行政府会计制度准则：</w:t>
            </w:r>
            <w:r>
              <w:rPr>
                <w:rFonts w:hint="eastAsia" w:ascii="仿宋" w:hAnsi="仿宋" w:eastAsia="仿宋" w:cs="仿宋"/>
              </w:rPr>
              <w:t xml:space="preserve"> 是</w:t>
            </w:r>
            <w:r>
              <w:rPr>
                <w:rFonts w:hint="eastAsia" w:ascii="仿宋" w:hAnsi="仿宋" w:eastAsia="仿宋" w:cs="仿宋"/>
                <w:lang w:eastAsia="zh-CN"/>
              </w:rPr>
              <w:t>☑</w:t>
            </w:r>
            <w:r>
              <w:rPr>
                <w:rFonts w:hint="eastAsia" w:ascii="仿宋" w:hAnsi="仿宋" w:eastAsia="仿宋" w:cs="仿宋"/>
              </w:rPr>
              <w:t xml:space="preserve">    否□</w:t>
            </w:r>
          </w:p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是否制定财务管理、会计核算等制度: 是</w:t>
            </w:r>
            <w:r>
              <w:rPr>
                <w:rFonts w:hint="eastAsia" w:ascii="仿宋" w:hAnsi="仿宋" w:eastAsia="仿宋" w:cs="仿宋"/>
                <w:lang w:eastAsia="zh-CN"/>
              </w:rPr>
              <w:t>☑</w:t>
            </w:r>
            <w:r>
              <w:rPr>
                <w:rFonts w:hint="eastAsia" w:ascii="仿宋" w:hAnsi="仿宋" w:eastAsia="仿宋" w:cs="仿宋"/>
              </w:rPr>
              <w:t xml:space="preserve">  否□</w:t>
            </w:r>
          </w:p>
          <w:p>
            <w:pPr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内部控制报告编制是否规范：</w:t>
            </w:r>
            <w:r>
              <w:rPr>
                <w:rFonts w:hint="eastAsia" w:ascii="仿宋" w:hAnsi="仿宋" w:eastAsia="仿宋" w:cs="仿宋"/>
              </w:rPr>
              <w:t>是</w:t>
            </w:r>
            <w:r>
              <w:rPr>
                <w:rFonts w:hint="eastAsia" w:ascii="仿宋" w:hAnsi="仿宋" w:eastAsia="仿宋" w:cs="仿宋"/>
                <w:lang w:eastAsia="zh-CN"/>
              </w:rPr>
              <w:t>☑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</w:rPr>
              <w:t>否□</w:t>
            </w:r>
          </w:p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会计人员是否</w:t>
            </w:r>
            <w:r>
              <w:rPr>
                <w:rFonts w:hint="eastAsia" w:ascii="仿宋" w:hAnsi="仿宋" w:eastAsia="仿宋" w:cs="仿宋"/>
                <w:lang w:eastAsia="zh-CN"/>
              </w:rPr>
              <w:t>具备从事会计工作所需要的专业能力</w:t>
            </w:r>
            <w:r>
              <w:rPr>
                <w:rFonts w:hint="eastAsia" w:ascii="仿宋" w:hAnsi="仿宋" w:eastAsia="仿宋" w:cs="仿宋"/>
              </w:rPr>
              <w:t>: 是</w:t>
            </w:r>
            <w:r>
              <w:rPr>
                <w:rFonts w:hint="eastAsia" w:ascii="仿宋" w:hAnsi="仿宋" w:eastAsia="仿宋" w:cs="仿宋"/>
                <w:lang w:eastAsia="zh-CN"/>
              </w:rPr>
              <w:t>☑</w:t>
            </w:r>
            <w:r>
              <w:rPr>
                <w:rFonts w:hint="eastAsia" w:ascii="仿宋" w:hAnsi="仿宋" w:eastAsia="仿宋" w:cs="仿宋"/>
              </w:rPr>
              <w:t xml:space="preserve">  否□</w:t>
            </w:r>
          </w:p>
          <w:p>
            <w:pPr>
              <w:pStyle w:val="2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7" w:hRule="exact"/>
          <w:jc w:val="center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资金管理</w:t>
            </w:r>
          </w:p>
        </w:tc>
        <w:tc>
          <w:tcPr>
            <w:tcW w:w="7512" w:type="dxa"/>
            <w:gridSpan w:val="9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是否制定资金管理办法: 是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☑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  否□</w:t>
            </w:r>
          </w:p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资金拨付有完整的审批程序: 有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☑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  无□</w:t>
            </w:r>
          </w:p>
          <w:p>
            <w:pPr>
              <w:ind w:left="3885" w:hanging="3885" w:hangingChars="1850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资金使用是否存在违规使用资金、乱发津补贴奖金现象：是□  否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0" w:hRule="exact"/>
          <w:jc w:val="center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资产管理</w:t>
            </w:r>
          </w:p>
        </w:tc>
        <w:tc>
          <w:tcPr>
            <w:tcW w:w="7512" w:type="dxa"/>
            <w:gridSpan w:val="9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是否制定资产管理制度: 是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☑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 否□</w:t>
            </w:r>
          </w:p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资产管理、保存、处置是否合理规范: 是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☑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  否□</w:t>
            </w:r>
          </w:p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资产是否产权清晰、两证齐全：是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☑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   否□</w:t>
            </w:r>
          </w:p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账、表、实、卡是否相符: 是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☑</w:t>
            </w:r>
            <w:r>
              <w:rPr>
                <w:rFonts w:hint="eastAsia" w:ascii="仿宋" w:hAnsi="仿宋" w:eastAsia="仿宋" w:cs="仿宋"/>
                <w:szCs w:val="21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exact"/>
          <w:jc w:val="center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职责履行</w:t>
            </w:r>
          </w:p>
        </w:tc>
        <w:tc>
          <w:tcPr>
            <w:tcW w:w="7512" w:type="dxa"/>
            <w:gridSpan w:val="9"/>
            <w:noWrap w:val="0"/>
            <w:vAlign w:val="top"/>
          </w:tcPr>
          <w:p>
            <w:pPr>
              <w:spacing w:line="560" w:lineRule="exact"/>
              <w:jc w:val="left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重点工作是否全部完成且质量达标: 是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☑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 否□</w:t>
            </w:r>
          </w:p>
          <w:p>
            <w:pPr>
              <w:spacing w:line="560" w:lineRule="exact"/>
              <w:jc w:val="left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9" w:hRule="atLeast"/>
          <w:jc w:val="center"/>
        </w:trPr>
        <w:tc>
          <w:tcPr>
            <w:tcW w:w="53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部门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主要绩效</w:t>
            </w:r>
          </w:p>
        </w:tc>
        <w:tc>
          <w:tcPr>
            <w:tcW w:w="8680" w:type="dxa"/>
            <w:gridSpan w:val="10"/>
            <w:noWrap w:val="0"/>
            <w:vAlign w:val="center"/>
          </w:tcPr>
          <w:p>
            <w:pPr>
              <w:ind w:firstLine="105" w:firstLineChars="50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以强化政治统领为根本，推动政治建设走深走实。一是持续强化“立根铸魂”。二是持续深化“政治体检”。三是持续优化“充电赋能”。以提升组织力为重点，推动基层党组织全面进步。一是夯实筑牢“桥头堡”。二是选优配强“领头雁”。以忠诚干净担当为标尺，着力锻造高素质干部队伍。一是树牢选人用人“风向标”。二是打造干部历练“主阵地”。坚持把基层一线作为干部培养锻炼的主阵地，把急难险重岗位作为培养锻炼干部的主战场。三是提振担当作为“精气神”。以服务高质量发展为目标，着力集聚各方面优秀人才。一是引进急需紧缺人才。二是加强乡土人才培育。三是优化人才服务水平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8" w:hRule="atLeast"/>
          <w:jc w:val="center"/>
        </w:trPr>
        <w:tc>
          <w:tcPr>
            <w:tcW w:w="53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自评结论</w:t>
            </w:r>
          </w:p>
        </w:tc>
        <w:tc>
          <w:tcPr>
            <w:tcW w:w="8680" w:type="dxa"/>
            <w:gridSpan w:val="10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7" w:hRule="atLeast"/>
          <w:jc w:val="center"/>
        </w:trPr>
        <w:tc>
          <w:tcPr>
            <w:tcW w:w="53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问题与建议</w:t>
            </w:r>
          </w:p>
        </w:tc>
        <w:tc>
          <w:tcPr>
            <w:tcW w:w="8680" w:type="dxa"/>
            <w:gridSpan w:val="10"/>
            <w:noWrap w:val="0"/>
            <w:vAlign w:val="center"/>
          </w:tcPr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ascii="楷体" w:hAnsi="楷体" w:eastAsia="楷体" w:cs="楷体"/>
                <w:szCs w:val="21"/>
              </w:rPr>
              <w:t>1</w:t>
            </w:r>
            <w:r>
              <w:rPr>
                <w:rFonts w:hint="eastAsia" w:ascii="楷体" w:hAnsi="楷体" w:eastAsia="楷体" w:cs="楷体"/>
                <w:szCs w:val="21"/>
              </w:rPr>
              <w:t>、预算编制有待细化。细化预算编制工作，认真做好预算的编制。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ascii="楷体" w:hAnsi="楷体" w:eastAsia="楷体" w:cs="楷体"/>
                <w:szCs w:val="21"/>
              </w:rPr>
              <w:t>2</w:t>
            </w:r>
            <w:r>
              <w:rPr>
                <w:rFonts w:hint="eastAsia" w:ascii="楷体" w:hAnsi="楷体" w:eastAsia="楷体" w:cs="楷体"/>
                <w:szCs w:val="21"/>
              </w:rPr>
              <w:t>、财务管理有待创新。加强财务管理，严格财务审核。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ascii="楷体" w:hAnsi="楷体" w:eastAsia="楷体" w:cs="楷体"/>
                <w:szCs w:val="21"/>
              </w:rPr>
              <w:t>3</w:t>
            </w:r>
            <w:r>
              <w:rPr>
                <w:rFonts w:hint="eastAsia" w:ascii="楷体" w:hAnsi="楷体" w:eastAsia="楷体" w:cs="楷体"/>
                <w:szCs w:val="21"/>
              </w:rPr>
              <w:t>、资产管理有待加强。完善资产管理，抓好“三公”经费控制。</w:t>
            </w:r>
          </w:p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8" w:hRule="atLeast"/>
          <w:jc w:val="center"/>
        </w:trPr>
        <w:tc>
          <w:tcPr>
            <w:tcW w:w="533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主管部门意见</w:t>
            </w:r>
          </w:p>
        </w:tc>
        <w:tc>
          <w:tcPr>
            <w:tcW w:w="8680" w:type="dxa"/>
            <w:gridSpan w:val="10"/>
            <w:noWrap w:val="0"/>
            <w:vAlign w:val="top"/>
          </w:tcPr>
          <w:p>
            <w:pPr>
              <w:ind w:firstLine="3360" w:firstLineChars="1600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ind w:firstLine="3360" w:firstLineChars="1600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同意评价意见。</w:t>
            </w:r>
          </w:p>
          <w:p>
            <w:pPr>
              <w:ind w:firstLine="3360" w:firstLineChars="1600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ind w:firstLine="3360" w:firstLineChars="1600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主管部门（盖章）：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 w:cs="仿宋"/>
          <w:szCs w:val="21"/>
        </w:rPr>
      </w:pPr>
      <w:r>
        <w:rPr>
          <w:rFonts w:hint="eastAsia" w:ascii="仿宋" w:hAnsi="仿宋" w:eastAsia="仿宋" w:cs="仿宋"/>
          <w:szCs w:val="21"/>
        </w:rPr>
        <w:t>填报人：</w:t>
      </w:r>
      <w:r>
        <w:rPr>
          <w:rFonts w:hint="eastAsia" w:ascii="仿宋" w:hAnsi="仿宋" w:eastAsia="仿宋" w:cs="仿宋"/>
          <w:szCs w:val="21"/>
          <w:lang w:eastAsia="zh-CN"/>
        </w:rPr>
        <w:t>曾文豪</w:t>
      </w:r>
      <w:r>
        <w:rPr>
          <w:rFonts w:hint="eastAsia" w:ascii="仿宋" w:hAnsi="仿宋" w:eastAsia="仿宋" w:cs="仿宋"/>
          <w:szCs w:val="21"/>
        </w:rPr>
        <w:t xml:space="preserve">            联系电话：</w:t>
      </w:r>
      <w:r>
        <w:rPr>
          <w:rFonts w:hint="eastAsia" w:ascii="仿宋" w:hAnsi="仿宋" w:eastAsia="仿宋" w:cs="仿宋"/>
          <w:szCs w:val="21"/>
          <w:lang w:val="en-US" w:eastAsia="zh-CN"/>
        </w:rPr>
        <w:t>15673552982</w:t>
      </w:r>
      <w:r>
        <w:rPr>
          <w:rFonts w:hint="eastAsia" w:ascii="仿宋" w:hAnsi="仿宋" w:eastAsia="仿宋" w:cs="仿宋"/>
          <w:szCs w:val="21"/>
        </w:rPr>
        <w:t xml:space="preserve">          时间：</w:t>
      </w:r>
      <w:r>
        <w:rPr>
          <w:rFonts w:hint="eastAsia" w:ascii="仿宋" w:hAnsi="仿宋" w:eastAsia="仿宋" w:cs="仿宋"/>
          <w:szCs w:val="21"/>
          <w:lang w:val="en-US" w:eastAsia="zh-CN"/>
        </w:rPr>
        <w:t>2023</w:t>
      </w:r>
      <w:r>
        <w:rPr>
          <w:rFonts w:hint="eastAsia" w:ascii="仿宋" w:hAnsi="仿宋" w:eastAsia="仿宋" w:cs="仿宋"/>
          <w:szCs w:val="21"/>
        </w:rPr>
        <w:t>年</w:t>
      </w:r>
      <w:r>
        <w:rPr>
          <w:rFonts w:hint="eastAsia" w:ascii="仿宋" w:hAnsi="仿宋" w:eastAsia="仿宋" w:cs="仿宋"/>
          <w:szCs w:val="21"/>
          <w:lang w:val="en-US" w:eastAsia="zh-CN"/>
        </w:rPr>
        <w:t>5</w:t>
      </w:r>
      <w:r>
        <w:rPr>
          <w:rFonts w:hint="eastAsia" w:ascii="仿宋" w:hAnsi="仿宋" w:eastAsia="仿宋" w:cs="仿宋"/>
          <w:szCs w:val="21"/>
        </w:rPr>
        <w:t>月</w:t>
      </w:r>
      <w:r>
        <w:rPr>
          <w:rFonts w:hint="eastAsia" w:ascii="仿宋" w:hAnsi="仿宋" w:eastAsia="仿宋" w:cs="仿宋"/>
          <w:szCs w:val="21"/>
          <w:lang w:val="en-US" w:eastAsia="zh-CN"/>
        </w:rPr>
        <w:t>4</w:t>
      </w:r>
      <w:r>
        <w:rPr>
          <w:rFonts w:hint="eastAsia" w:ascii="仿宋" w:hAnsi="仿宋" w:eastAsia="仿宋" w:cs="仿宋"/>
          <w:szCs w:val="21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 w:cs="仿宋"/>
          <w:kern w:val="0"/>
        </w:rPr>
      </w:pPr>
      <w:r>
        <w:rPr>
          <w:rFonts w:hint="eastAsia" w:ascii="仿宋" w:hAnsi="仿宋" w:eastAsia="仿宋" w:cs="仿宋"/>
          <w:kern w:val="0"/>
        </w:rPr>
        <w:t>注：自评结论填“优、良、中、差”。</w:t>
      </w:r>
    </w:p>
    <w:p>
      <w:pPr>
        <w:spacing w:line="560" w:lineRule="exact"/>
        <w:rPr>
          <w:rFonts w:hint="eastAsia" w:ascii="仿宋" w:hAnsi="仿宋" w:eastAsia="仿宋" w:cs="仿宋"/>
          <w:kern w:val="0"/>
          <w:sz w:val="24"/>
          <w:szCs w:val="24"/>
        </w:rPr>
      </w:pPr>
    </w:p>
    <w:p>
      <w:pPr>
        <w:spacing w:line="600" w:lineRule="exact"/>
        <w:jc w:val="center"/>
        <w:rPr>
          <w:rFonts w:hint="eastAsia" w:ascii="黑体" w:hAnsi="黑体" w:eastAsia="黑体" w:cs="黑体"/>
          <w:b/>
          <w:bCs w:val="0"/>
          <w:kern w:val="0"/>
          <w:sz w:val="36"/>
          <w:szCs w:val="36"/>
        </w:rPr>
      </w:pPr>
      <w:r>
        <w:rPr>
          <w:rFonts w:hint="eastAsia" w:ascii="黑体" w:hAnsi="黑体" w:eastAsia="黑体" w:cs="黑体"/>
          <w:b/>
          <w:bCs w:val="0"/>
          <w:kern w:val="0"/>
          <w:sz w:val="36"/>
          <w:szCs w:val="36"/>
          <w:lang w:val="en-US" w:eastAsia="zh-CN"/>
        </w:rPr>
        <w:t>隆回县委组织部2022年度</w:t>
      </w:r>
      <w:r>
        <w:rPr>
          <w:rFonts w:hint="eastAsia" w:ascii="黑体" w:hAnsi="黑体" w:eastAsia="黑体" w:cs="黑体"/>
          <w:b/>
          <w:bCs w:val="0"/>
          <w:kern w:val="0"/>
          <w:sz w:val="36"/>
          <w:szCs w:val="36"/>
        </w:rPr>
        <w:t>部门整体支出</w:t>
      </w:r>
    </w:p>
    <w:p>
      <w:pPr>
        <w:spacing w:line="600" w:lineRule="exact"/>
        <w:jc w:val="center"/>
        <w:rPr>
          <w:rFonts w:hint="eastAsia" w:ascii="黑体" w:hAnsi="黑体" w:eastAsia="黑体" w:cs="黑体"/>
          <w:b/>
          <w:bCs w:val="0"/>
          <w:kern w:val="0"/>
          <w:sz w:val="36"/>
          <w:szCs w:val="36"/>
        </w:rPr>
      </w:pPr>
      <w:r>
        <w:rPr>
          <w:rFonts w:hint="eastAsia" w:ascii="黑体" w:hAnsi="黑体" w:eastAsia="黑体" w:cs="黑体"/>
          <w:b/>
          <w:bCs w:val="0"/>
          <w:kern w:val="0"/>
          <w:sz w:val="36"/>
          <w:szCs w:val="36"/>
        </w:rPr>
        <w:t>绩效自评报告</w:t>
      </w:r>
    </w:p>
    <w:p>
      <w:pPr>
        <w:ind w:firstLine="420" w:firstLineChars="200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ascii="黑体" w:hAnsi="黑体" w:eastAsia="黑体"/>
          <w:b/>
          <w:bCs/>
          <w:sz w:val="32"/>
          <w:szCs w:val="32"/>
        </w:rPr>
      </w:pPr>
      <w:r>
        <w:rPr>
          <w:rFonts w:hint="eastAsia" w:ascii="黑体" w:hAnsi="黑体" w:eastAsia="黑体"/>
          <w:b/>
          <w:bCs/>
          <w:sz w:val="32"/>
          <w:szCs w:val="32"/>
        </w:rPr>
        <w:t>一、部门概况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640" w:firstLineChars="200"/>
        <w:jc w:val="left"/>
        <w:textAlignment w:val="auto"/>
        <w:rPr>
          <w:rFonts w:hint="eastAsia" w:ascii="仿宋_GB2312" w:hAnsi="仿宋" w:eastAsia="仿宋_GB2312" w:cs="Times New Roman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" w:eastAsia="仿宋_GB2312" w:cs="Times New Roman"/>
          <w:b w:val="0"/>
          <w:bCs w:val="0"/>
          <w:sz w:val="32"/>
          <w:szCs w:val="32"/>
          <w:lang w:eastAsia="zh-CN"/>
        </w:rPr>
        <w:t>（一）部门基本情况</w:t>
      </w:r>
    </w:p>
    <w:p>
      <w:pPr>
        <w:pStyle w:val="5"/>
        <w:shd w:val="clear" w:color="auto" w:fill="FFFFFF"/>
        <w:spacing w:before="0" w:beforeAutospacing="0" w:after="0" w:afterAutospacing="0" w:line="600" w:lineRule="exact"/>
        <w:ind w:firstLine="640" w:firstLineChars="200"/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根据编委办核定，我单位内设科室15个，所属单位2个，全部纳入202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2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年部门预算编制范围。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br w:type="textWrapping"/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 xml:space="preserve">    内设科室分别是：办公室、</w:t>
      </w: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"/>
        </w:rPr>
        <w:t>调研信息组(新闻宣传办公室)、组织指导组（党建督导室）、党员管理组（县党代表联络办公室）、干部一组（公开选拔领导干部办公室）、干部二组（干部教育组、干部队伍建设规划办公室）、干部信息管理组、干部监督组(举报中心、巡察工作联络办公室)、人才组、老干部组（县关心下一代工作委员会办公室）、公务员一组、公务员二组、考核评价办，同时挂靠中共隆回县委基层党建工作领导小组办公室（简称“县委基层党建办”）、县直属机关工作委员会办公室、县委非公有制经济组织和社会组织工作委员会办公室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left="638" w:leftChars="304" w:firstLine="0" w:firstLineChars="0"/>
        <w:jc w:val="left"/>
        <w:textAlignment w:val="auto"/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所属单位分别是:</w:t>
      </w: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"/>
        </w:rPr>
        <w:t>党员教育中心、老干部教育活动</w:t>
      </w:r>
      <w:r>
        <w:rPr>
          <w:rFonts w:hint="eastAsia" w:eastAsia="仿宋_GB2312" w:cs="Times New Roman"/>
          <w:b w:val="0"/>
          <w:bCs w:val="0"/>
          <w:kern w:val="2"/>
          <w:sz w:val="32"/>
          <w:szCs w:val="32"/>
          <w:lang w:val="en-US" w:eastAsia="zh-CN" w:bidi="ar"/>
        </w:rPr>
        <w:t>中心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left="638" w:leftChars="304" w:firstLine="0" w:firstLineChars="0"/>
        <w:jc w:val="left"/>
        <w:textAlignment w:val="auto"/>
        <w:rPr>
          <w:rFonts w:hint="eastAsia" w:ascii="仿宋_GB2312" w:hAnsi="仿宋" w:eastAsia="仿宋_GB2312" w:cs="Times New Roman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" w:eastAsia="仿宋_GB2312" w:cs="Times New Roman"/>
          <w:b w:val="0"/>
          <w:bCs w:val="0"/>
          <w:sz w:val="32"/>
          <w:szCs w:val="32"/>
          <w:lang w:eastAsia="zh-CN"/>
        </w:rPr>
        <w:t>（二）202</w:t>
      </w:r>
      <w:r>
        <w:rPr>
          <w:rFonts w:hint="eastAsia" w:ascii="仿宋_GB2312" w:hAnsi="仿宋" w:eastAsia="仿宋_GB2312" w:cs="Times New Roman"/>
          <w:b w:val="0"/>
          <w:bCs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" w:eastAsia="仿宋_GB2312" w:cs="Times New Roman"/>
          <w:b w:val="0"/>
          <w:bCs w:val="0"/>
          <w:sz w:val="32"/>
          <w:szCs w:val="32"/>
          <w:lang w:eastAsia="zh-CN"/>
        </w:rPr>
        <w:t>年的重点工作</w:t>
      </w:r>
    </w:p>
    <w:p>
      <w:pPr>
        <w:numPr>
          <w:ilvl w:val="0"/>
          <w:numId w:val="0"/>
        </w:numPr>
        <w:overflowPunct w:val="0"/>
        <w:spacing w:line="560" w:lineRule="exact"/>
        <w:ind w:firstLine="640" w:firstLineChars="200"/>
        <w:rPr>
          <w:rFonts w:ascii="Times New Roman" w:hAnsi="Times New Roman" w:eastAsia="仿宋" w:cs="仿宋_GB2312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>聚焦“固本强基”，提质增效强引力</w:t>
      </w: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。</w:t>
      </w:r>
      <w:r>
        <w:rPr>
          <w:rFonts w:hint="eastAsia" w:ascii="Times New Roman" w:hAnsi="Times New Roman" w:eastAsia="仿宋" w:cs="仿宋_GB2312"/>
          <w:color w:val="000000"/>
          <w:sz w:val="32"/>
          <w:szCs w:val="32"/>
        </w:rPr>
        <w:t>各级党组织主要负责人切实履行“第一责任人”责任，县委常委带头落实“包一个镇、联一个村、抓一个企业”党建工作联系点制度，定期深入分管领域和党建联系点检查指导党建工作、讲党课</w:t>
      </w:r>
      <w:r>
        <w:rPr>
          <w:rFonts w:hint="eastAsia" w:ascii="Times New Roman" w:hAnsi="Times New Roman" w:eastAsia="仿宋" w:cs="仿宋_GB2312"/>
          <w:color w:val="000000"/>
          <w:sz w:val="32"/>
          <w:szCs w:val="32"/>
          <w:lang w:eastAsia="zh-CN"/>
        </w:rPr>
        <w:t>。</w:t>
      </w:r>
      <w:r>
        <w:rPr>
          <w:rFonts w:hint="eastAsia" w:ascii="Times New Roman" w:hAnsi="Times New Roman" w:eastAsia="仿宋" w:cs="仿宋_GB2312"/>
          <w:color w:val="000000"/>
          <w:sz w:val="32"/>
          <w:szCs w:val="32"/>
        </w:rPr>
        <w:t>全面推进基层党建整建提质，扎实推进两新党建“两个覆盖”，全域推进城市基层党建工作，投入</w:t>
      </w:r>
      <w:r>
        <w:rPr>
          <w:rFonts w:ascii="Times New Roman" w:hAnsi="Times New Roman" w:eastAsia="仿宋" w:cs="仿宋_GB2312"/>
          <w:color w:val="000000"/>
          <w:sz w:val="32"/>
          <w:szCs w:val="32"/>
        </w:rPr>
        <w:t>1000</w:t>
      </w:r>
      <w:r>
        <w:rPr>
          <w:rFonts w:hint="eastAsia" w:ascii="Times New Roman" w:hAnsi="Times New Roman" w:eastAsia="仿宋" w:cs="仿宋_GB2312"/>
          <w:color w:val="000000"/>
          <w:sz w:val="32"/>
          <w:szCs w:val="32"/>
        </w:rPr>
        <w:t>万元深入实施“社区强基”工程，在物业管理完善、条件成熟的城市社区组建小区党支部</w:t>
      </w:r>
      <w:r>
        <w:rPr>
          <w:rFonts w:ascii="Times New Roman" w:hAnsi="Times New Roman" w:eastAsia="仿宋" w:cs="仿宋_GB2312"/>
          <w:color w:val="000000"/>
          <w:sz w:val="32"/>
          <w:szCs w:val="32"/>
        </w:rPr>
        <w:t>9</w:t>
      </w:r>
      <w:r>
        <w:rPr>
          <w:rFonts w:hint="eastAsia" w:ascii="Times New Roman" w:hAnsi="Times New Roman" w:eastAsia="仿宋" w:cs="仿宋_GB2312"/>
          <w:color w:val="000000"/>
          <w:sz w:val="32"/>
          <w:szCs w:val="32"/>
        </w:rPr>
        <w:t>个、网格党支部</w:t>
      </w:r>
      <w:r>
        <w:rPr>
          <w:rFonts w:ascii="Times New Roman" w:hAnsi="Times New Roman" w:eastAsia="仿宋" w:cs="仿宋_GB2312"/>
          <w:color w:val="000000"/>
          <w:sz w:val="32"/>
          <w:szCs w:val="32"/>
        </w:rPr>
        <w:t>17</w:t>
      </w:r>
      <w:r>
        <w:rPr>
          <w:rFonts w:hint="eastAsia" w:ascii="Times New Roman" w:hAnsi="Times New Roman" w:eastAsia="仿宋" w:cs="仿宋_GB2312"/>
          <w:color w:val="000000"/>
          <w:sz w:val="32"/>
          <w:szCs w:val="32"/>
        </w:rPr>
        <w:t>个。创新“一二三四法”发展壮大村级集体经济，</w:t>
      </w:r>
      <w:r>
        <w:rPr>
          <w:rFonts w:ascii="Times New Roman" w:hAnsi="Times New Roman" w:eastAsia="仿宋" w:cs="仿宋_GB2312"/>
          <w:color w:val="000000"/>
          <w:sz w:val="32"/>
          <w:szCs w:val="32"/>
        </w:rPr>
        <w:t>572</w:t>
      </w:r>
      <w:r>
        <w:rPr>
          <w:rFonts w:hint="eastAsia" w:ascii="Times New Roman" w:hAnsi="Times New Roman" w:eastAsia="仿宋" w:cs="仿宋_GB2312"/>
          <w:color w:val="000000"/>
          <w:sz w:val="32"/>
          <w:szCs w:val="32"/>
        </w:rPr>
        <w:t>村（社区）全面成立村级建筑劳务服务公司，聚焦建筑施工、劳务输出、服务创收、产业经营“四大板块”，实现村级集体经济跨越发展。持续加强基层干部队伍建设。深入调研全县村（社区）换届后运行情况，出台《隆回县非换届期间村（社区）两委干部调整的工作流程》，扩宽选人视野和渠道，严格程序选优配强村（社区）“两委”班子，补配村（社区）党组织书记</w:t>
      </w:r>
      <w:r>
        <w:rPr>
          <w:rFonts w:ascii="Times New Roman" w:hAnsi="Times New Roman" w:eastAsia="仿宋" w:cs="仿宋_GB2312"/>
          <w:color w:val="000000"/>
          <w:sz w:val="32"/>
          <w:szCs w:val="32"/>
        </w:rPr>
        <w:t>17</w:t>
      </w:r>
      <w:r>
        <w:rPr>
          <w:rFonts w:hint="eastAsia" w:ascii="Times New Roman" w:hAnsi="Times New Roman" w:eastAsia="仿宋" w:cs="仿宋_GB2312"/>
          <w:color w:val="000000"/>
          <w:sz w:val="32"/>
          <w:szCs w:val="32"/>
        </w:rPr>
        <w:t>人、其他“两委”干部</w:t>
      </w:r>
      <w:r>
        <w:rPr>
          <w:rFonts w:ascii="Times New Roman" w:hAnsi="Times New Roman" w:eastAsia="仿宋" w:cs="仿宋_GB2312"/>
          <w:color w:val="000000"/>
          <w:sz w:val="32"/>
          <w:szCs w:val="32"/>
        </w:rPr>
        <w:t>44</w:t>
      </w:r>
      <w:r>
        <w:rPr>
          <w:rFonts w:hint="eastAsia" w:ascii="Times New Roman" w:hAnsi="Times New Roman" w:eastAsia="仿宋" w:cs="仿宋_GB2312"/>
          <w:color w:val="000000"/>
          <w:sz w:val="32"/>
          <w:szCs w:val="32"/>
        </w:rPr>
        <w:t>人。落实</w:t>
      </w:r>
      <w:r>
        <w:rPr>
          <w:rFonts w:ascii="Times New Roman" w:hAnsi="Times New Roman" w:eastAsia="仿宋" w:cs="仿宋_GB2312"/>
          <w:color w:val="000000"/>
          <w:sz w:val="32"/>
          <w:szCs w:val="32"/>
        </w:rPr>
        <w:t>2021</w:t>
      </w:r>
      <w:r>
        <w:rPr>
          <w:rFonts w:hint="eastAsia" w:ascii="Times New Roman" w:hAnsi="Times New Roman" w:eastAsia="仿宋" w:cs="仿宋_GB2312"/>
          <w:color w:val="000000"/>
          <w:sz w:val="32"/>
          <w:szCs w:val="32"/>
        </w:rPr>
        <w:t>年度村</w:t>
      </w:r>
      <w:r>
        <w:rPr>
          <w:rFonts w:ascii="Times New Roman" w:hAnsi="Times New Roman" w:eastAsia="仿宋" w:cs="仿宋_GB2312"/>
          <w:color w:val="000000"/>
          <w:sz w:val="32"/>
          <w:szCs w:val="32"/>
        </w:rPr>
        <w:t>(</w:t>
      </w:r>
      <w:r>
        <w:rPr>
          <w:rFonts w:hint="eastAsia" w:ascii="Times New Roman" w:hAnsi="Times New Roman" w:eastAsia="仿宋" w:cs="仿宋_GB2312"/>
          <w:color w:val="000000"/>
          <w:sz w:val="32"/>
          <w:szCs w:val="32"/>
        </w:rPr>
        <w:t>社区）主职干部养老保险补贴</w:t>
      </w:r>
      <w:r>
        <w:rPr>
          <w:rFonts w:ascii="Times New Roman" w:hAnsi="Times New Roman" w:eastAsia="仿宋" w:cs="仿宋_GB2312"/>
          <w:color w:val="000000"/>
          <w:sz w:val="32"/>
          <w:szCs w:val="32"/>
        </w:rPr>
        <w:t>1155</w:t>
      </w:r>
      <w:r>
        <w:rPr>
          <w:rFonts w:hint="eastAsia" w:ascii="Times New Roman" w:hAnsi="Times New Roman" w:eastAsia="仿宋" w:cs="仿宋_GB2312"/>
          <w:color w:val="000000"/>
          <w:sz w:val="32"/>
          <w:szCs w:val="32"/>
        </w:rPr>
        <w:t>人共</w:t>
      </w:r>
      <w:r>
        <w:rPr>
          <w:rFonts w:ascii="Times New Roman" w:hAnsi="Times New Roman" w:eastAsia="仿宋" w:cs="仿宋_GB2312"/>
          <w:color w:val="000000"/>
          <w:sz w:val="32"/>
          <w:szCs w:val="32"/>
        </w:rPr>
        <w:t>231</w:t>
      </w:r>
      <w:r>
        <w:rPr>
          <w:rFonts w:hint="eastAsia" w:ascii="Times New Roman" w:hAnsi="Times New Roman" w:eastAsia="仿宋" w:cs="仿宋_GB2312"/>
          <w:color w:val="000000"/>
          <w:sz w:val="32"/>
          <w:szCs w:val="32"/>
        </w:rPr>
        <w:t>万元。参照干部标准组织所有村（社区）干部健康体检，及时、足额发放离任村（社区）干部</w:t>
      </w:r>
      <w:r>
        <w:rPr>
          <w:rFonts w:ascii="Times New Roman" w:hAnsi="Times New Roman" w:eastAsia="仿宋" w:cs="仿宋_GB2312"/>
          <w:color w:val="000000"/>
          <w:sz w:val="32"/>
          <w:szCs w:val="32"/>
        </w:rPr>
        <w:t>1-3</w:t>
      </w:r>
      <w:r>
        <w:rPr>
          <w:rFonts w:hint="eastAsia" w:ascii="Times New Roman" w:hAnsi="Times New Roman" w:eastAsia="仿宋" w:cs="仿宋_GB2312"/>
          <w:color w:val="000000"/>
          <w:sz w:val="32"/>
          <w:szCs w:val="32"/>
        </w:rPr>
        <w:t>季度生活补贴</w:t>
      </w:r>
      <w:r>
        <w:rPr>
          <w:rFonts w:ascii="Times New Roman" w:hAnsi="Times New Roman" w:eastAsia="仿宋" w:cs="仿宋_GB2312"/>
          <w:color w:val="000000"/>
          <w:sz w:val="32"/>
          <w:szCs w:val="32"/>
        </w:rPr>
        <w:t>1398.35</w:t>
      </w:r>
      <w:r>
        <w:rPr>
          <w:rFonts w:hint="eastAsia" w:ascii="Times New Roman" w:hAnsi="Times New Roman" w:eastAsia="仿宋" w:cs="仿宋_GB2312"/>
          <w:color w:val="000000"/>
          <w:sz w:val="32"/>
          <w:szCs w:val="32"/>
        </w:rPr>
        <w:t>万元。</w:t>
      </w:r>
    </w:p>
    <w:p>
      <w:pPr>
        <w:pStyle w:val="2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二、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>聚焦“选贤任能”，严管厚爱增动力</w:t>
      </w:r>
      <w:r>
        <w:rPr>
          <w:rFonts w:hint="eastAsia" w:ascii="楷体" w:hAnsi="楷体" w:eastAsia="楷体" w:cs="楷体"/>
          <w:b/>
          <w:bCs/>
          <w:color w:val="000000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color w:val="000000"/>
          <w:spacing w:val="11"/>
          <w:sz w:val="32"/>
          <w:szCs w:val="32"/>
        </w:rPr>
        <w:t>坚持把基层一线作为干部培养锻炼的主阵地，注重在大战大考中考察识别干部。</w:t>
      </w:r>
      <w:r>
        <w:rPr>
          <w:rFonts w:hint="eastAsia" w:ascii="Times New Roman" w:hAnsi="Times New Roman" w:eastAsia="仿宋" w:cs="仿宋_GB2312"/>
          <w:color w:val="000000"/>
          <w:sz w:val="32"/>
          <w:szCs w:val="32"/>
        </w:rPr>
        <w:t>加大干部双向交流力度，面向基层一线选调</w:t>
      </w:r>
      <w:r>
        <w:rPr>
          <w:rFonts w:ascii="Times New Roman" w:hAnsi="Times New Roman" w:eastAsia="仿宋" w:cs="仿宋_GB2312"/>
          <w:color w:val="000000"/>
          <w:sz w:val="32"/>
          <w:szCs w:val="32"/>
        </w:rPr>
        <w:t>11</w:t>
      </w:r>
      <w:r>
        <w:rPr>
          <w:rFonts w:hint="eastAsia" w:ascii="Times New Roman" w:hAnsi="Times New Roman" w:eastAsia="仿宋" w:cs="仿宋_GB2312"/>
          <w:color w:val="000000"/>
          <w:sz w:val="32"/>
          <w:szCs w:val="32"/>
        </w:rPr>
        <w:t>名县直机关事业单位工作人员，有</w:t>
      </w:r>
      <w:r>
        <w:rPr>
          <w:rFonts w:ascii="Times New Roman" w:hAnsi="Times New Roman" w:eastAsia="仿宋" w:cs="仿宋_GB2312"/>
          <w:color w:val="000000"/>
          <w:sz w:val="32"/>
          <w:szCs w:val="32"/>
        </w:rPr>
        <w:t>2</w:t>
      </w:r>
      <w:r>
        <w:rPr>
          <w:rFonts w:hint="eastAsia" w:ascii="Times New Roman" w:hAnsi="Times New Roman" w:eastAsia="仿宋" w:cs="仿宋_GB2312"/>
          <w:color w:val="000000"/>
          <w:sz w:val="32"/>
          <w:szCs w:val="32"/>
        </w:rPr>
        <w:t>名表现优秀的县直机关干部交流到乡镇担任党政正职，</w:t>
      </w:r>
      <w:r>
        <w:rPr>
          <w:rFonts w:ascii="Times New Roman" w:hAnsi="Times New Roman" w:eastAsia="仿宋" w:cs="仿宋_GB2312"/>
          <w:color w:val="000000"/>
          <w:sz w:val="32"/>
          <w:szCs w:val="32"/>
        </w:rPr>
        <w:t>13</w:t>
      </w:r>
      <w:r>
        <w:rPr>
          <w:rFonts w:hint="eastAsia" w:ascii="Times New Roman" w:hAnsi="Times New Roman" w:eastAsia="仿宋" w:cs="仿宋_GB2312"/>
          <w:color w:val="000000"/>
          <w:sz w:val="32"/>
          <w:szCs w:val="32"/>
        </w:rPr>
        <w:t>名乡镇（街道）领导班子成员交流到县直机关任职。落实事业单位工作人员流动管理联席会议制度，流动调配事业单位工作人员</w:t>
      </w:r>
      <w:r>
        <w:rPr>
          <w:rFonts w:ascii="Times New Roman" w:hAnsi="Times New Roman" w:eastAsia="仿宋" w:cs="仿宋_GB2312"/>
          <w:color w:val="000000"/>
          <w:sz w:val="32"/>
          <w:szCs w:val="32"/>
        </w:rPr>
        <w:t>241</w:t>
      </w:r>
      <w:r>
        <w:rPr>
          <w:rFonts w:hint="eastAsia" w:ascii="Times New Roman" w:hAnsi="Times New Roman" w:eastAsia="仿宋" w:cs="仿宋_GB2312"/>
          <w:color w:val="000000"/>
          <w:sz w:val="32"/>
          <w:szCs w:val="32"/>
        </w:rPr>
        <w:t>名。健全年轻干部“选育管用”全链条培养机制，出台《关于进一步加强年轻干部队伍建设的工作机制》，召开全县年轻科级领导干部座谈会，举办</w:t>
      </w:r>
      <w:r>
        <w:rPr>
          <w:rFonts w:ascii="Times New Roman" w:hAnsi="Times New Roman" w:eastAsia="仿宋" w:cs="仿宋_GB2312"/>
          <w:color w:val="000000"/>
          <w:sz w:val="32"/>
          <w:szCs w:val="32"/>
        </w:rPr>
        <w:t>2022</w:t>
      </w:r>
      <w:r>
        <w:rPr>
          <w:rFonts w:hint="eastAsia" w:ascii="Times New Roman" w:hAnsi="Times New Roman" w:eastAsia="仿宋" w:cs="仿宋_GB2312"/>
          <w:color w:val="000000"/>
          <w:sz w:val="32"/>
          <w:szCs w:val="32"/>
        </w:rPr>
        <w:t>年隆回县年轻干部班，来自各行业、各领域的</w:t>
      </w:r>
      <w:r>
        <w:rPr>
          <w:rFonts w:ascii="Times New Roman" w:hAnsi="Times New Roman" w:eastAsia="仿宋" w:cs="仿宋_GB2312"/>
          <w:color w:val="000000"/>
          <w:sz w:val="32"/>
          <w:szCs w:val="32"/>
        </w:rPr>
        <w:t>39</w:t>
      </w:r>
      <w:r>
        <w:rPr>
          <w:rFonts w:hint="eastAsia" w:ascii="Times New Roman" w:hAnsi="Times New Roman" w:eastAsia="仿宋" w:cs="仿宋_GB2312"/>
          <w:color w:val="000000"/>
          <w:sz w:val="32"/>
          <w:szCs w:val="32"/>
        </w:rPr>
        <w:t>名优秀年轻干部参加培训。</w:t>
      </w:r>
      <w:r>
        <w:rPr>
          <w:rFonts w:ascii="Times New Roman" w:hAnsi="Times New Roman" w:eastAsia="仿宋" w:cs="仿宋_GB2312"/>
          <w:color w:val="000000"/>
          <w:sz w:val="32"/>
          <w:szCs w:val="32"/>
        </w:rPr>
        <w:t>2022</w:t>
      </w:r>
      <w:r>
        <w:rPr>
          <w:rFonts w:hint="eastAsia" w:ascii="Times New Roman" w:hAnsi="Times New Roman" w:eastAsia="仿宋" w:cs="仿宋_GB2312"/>
          <w:color w:val="000000"/>
          <w:sz w:val="32"/>
          <w:szCs w:val="32"/>
        </w:rPr>
        <w:t>年共提拔和进一步使用</w:t>
      </w:r>
      <w:r>
        <w:rPr>
          <w:rFonts w:ascii="Times New Roman" w:hAnsi="Times New Roman" w:eastAsia="仿宋" w:cs="仿宋_GB2312"/>
          <w:color w:val="000000"/>
          <w:sz w:val="32"/>
          <w:szCs w:val="32"/>
        </w:rPr>
        <w:t>35</w:t>
      </w:r>
      <w:r>
        <w:rPr>
          <w:rFonts w:hint="eastAsia" w:ascii="Times New Roman" w:hAnsi="Times New Roman" w:eastAsia="仿宋" w:cs="仿宋_GB2312"/>
          <w:color w:val="000000"/>
          <w:sz w:val="32"/>
          <w:szCs w:val="32"/>
        </w:rPr>
        <w:t>岁以下年轻干部</w:t>
      </w:r>
      <w:r>
        <w:rPr>
          <w:rFonts w:ascii="Times New Roman" w:hAnsi="Times New Roman" w:eastAsia="仿宋" w:cs="仿宋_GB2312"/>
          <w:color w:val="000000"/>
          <w:sz w:val="32"/>
          <w:szCs w:val="32"/>
        </w:rPr>
        <w:t>9</w:t>
      </w:r>
      <w:r>
        <w:rPr>
          <w:rFonts w:hint="eastAsia" w:ascii="Times New Roman" w:hAnsi="Times New Roman" w:eastAsia="仿宋" w:cs="仿宋_GB2312"/>
          <w:color w:val="000000"/>
          <w:sz w:val="32"/>
          <w:szCs w:val="32"/>
        </w:rPr>
        <w:t>名，其中</w:t>
      </w:r>
      <w:r>
        <w:rPr>
          <w:rFonts w:ascii="Times New Roman" w:hAnsi="Times New Roman" w:eastAsia="仿宋" w:cs="仿宋_GB2312"/>
          <w:color w:val="000000"/>
          <w:sz w:val="32"/>
          <w:szCs w:val="32"/>
        </w:rPr>
        <w:t>35</w:t>
      </w:r>
      <w:r>
        <w:rPr>
          <w:rFonts w:hint="eastAsia" w:ascii="Times New Roman" w:hAnsi="Times New Roman" w:eastAsia="仿宋" w:cs="仿宋_GB2312"/>
          <w:color w:val="000000"/>
          <w:sz w:val="32"/>
          <w:szCs w:val="32"/>
        </w:rPr>
        <w:t>岁以下的党政正职</w:t>
      </w:r>
      <w:r>
        <w:rPr>
          <w:rFonts w:ascii="Times New Roman" w:hAnsi="Times New Roman" w:eastAsia="仿宋" w:cs="仿宋_GB2312"/>
          <w:color w:val="000000"/>
          <w:sz w:val="32"/>
          <w:szCs w:val="32"/>
        </w:rPr>
        <w:t>1</w:t>
      </w:r>
      <w:r>
        <w:rPr>
          <w:rFonts w:hint="eastAsia" w:ascii="Times New Roman" w:hAnsi="Times New Roman" w:eastAsia="仿宋" w:cs="仿宋_GB2312"/>
          <w:color w:val="000000"/>
          <w:sz w:val="32"/>
          <w:szCs w:val="32"/>
        </w:rPr>
        <w:t>名，</w:t>
      </w:r>
      <w:r>
        <w:rPr>
          <w:rFonts w:ascii="Times New Roman" w:hAnsi="Times New Roman" w:eastAsia="仿宋" w:cs="仿宋_GB2312"/>
          <w:color w:val="000000"/>
          <w:sz w:val="32"/>
          <w:szCs w:val="32"/>
        </w:rPr>
        <w:t>30</w:t>
      </w:r>
      <w:r>
        <w:rPr>
          <w:rFonts w:hint="eastAsia" w:ascii="Times New Roman" w:hAnsi="Times New Roman" w:eastAsia="仿宋" w:cs="仿宋_GB2312"/>
          <w:color w:val="000000"/>
          <w:sz w:val="32"/>
          <w:szCs w:val="32"/>
        </w:rPr>
        <w:t>岁以下的科级干部</w:t>
      </w:r>
      <w:r>
        <w:rPr>
          <w:rFonts w:ascii="Times New Roman" w:hAnsi="Times New Roman" w:eastAsia="仿宋" w:cs="仿宋_GB2312"/>
          <w:color w:val="000000"/>
          <w:sz w:val="32"/>
          <w:szCs w:val="32"/>
        </w:rPr>
        <w:t>3</w:t>
      </w:r>
      <w:r>
        <w:rPr>
          <w:rFonts w:hint="eastAsia" w:ascii="Times New Roman" w:hAnsi="Times New Roman" w:eastAsia="仿宋" w:cs="仿宋_GB2312"/>
          <w:color w:val="000000"/>
          <w:sz w:val="32"/>
          <w:szCs w:val="32"/>
        </w:rPr>
        <w:t>名。</w:t>
      </w:r>
      <w:r>
        <w:rPr>
          <w:rFonts w:hint="eastAsia" w:ascii="仿宋" w:hAnsi="仿宋" w:eastAsia="仿宋" w:cs="仿宋"/>
          <w:color w:val="000000"/>
          <w:sz w:val="32"/>
          <w:szCs w:val="32"/>
          <w:lang w:val="zh-CN" w:bidi="zh-CN"/>
        </w:rPr>
        <w:t>坚持“以实绩论英雄、凭实绩用干部”，让“有为者有位、优秀的优先、能干的能上”。</w:t>
      </w:r>
      <w:r>
        <w:rPr>
          <w:rFonts w:hint="eastAsia" w:ascii="Times New Roman" w:hAnsi="Times New Roman" w:eastAsia="仿宋" w:cs="仿宋_GB2312"/>
          <w:color w:val="000000"/>
          <w:sz w:val="32"/>
          <w:szCs w:val="32"/>
        </w:rPr>
        <w:t>全年共调整任免科级领导干部</w:t>
      </w:r>
      <w:r>
        <w:rPr>
          <w:rFonts w:ascii="Times New Roman" w:hAnsi="Times New Roman" w:eastAsia="仿宋" w:cs="仿宋_GB2312"/>
          <w:color w:val="000000"/>
          <w:sz w:val="32"/>
          <w:szCs w:val="32"/>
        </w:rPr>
        <w:t>5</w:t>
      </w:r>
      <w:r>
        <w:rPr>
          <w:rFonts w:hint="eastAsia" w:ascii="Times New Roman" w:hAnsi="Times New Roman" w:eastAsia="仿宋" w:cs="仿宋_GB2312"/>
          <w:color w:val="000000"/>
          <w:sz w:val="32"/>
          <w:szCs w:val="32"/>
        </w:rPr>
        <w:t>批</w:t>
      </w:r>
      <w:r>
        <w:rPr>
          <w:rFonts w:ascii="Times New Roman" w:hAnsi="Times New Roman" w:eastAsia="仿宋" w:cs="仿宋_GB2312"/>
          <w:color w:val="000000"/>
          <w:sz w:val="32"/>
          <w:szCs w:val="32"/>
        </w:rPr>
        <w:t>182</w:t>
      </w:r>
      <w:r>
        <w:rPr>
          <w:rFonts w:hint="eastAsia" w:ascii="Times New Roman" w:hAnsi="Times New Roman" w:eastAsia="仿宋" w:cs="仿宋_GB2312"/>
          <w:color w:val="000000"/>
          <w:sz w:val="32"/>
          <w:szCs w:val="32"/>
        </w:rPr>
        <w:t>人次，其中提拔和进一步使用</w:t>
      </w:r>
      <w:r>
        <w:rPr>
          <w:rFonts w:ascii="Times New Roman" w:hAnsi="Times New Roman" w:eastAsia="仿宋" w:cs="仿宋_GB2312"/>
          <w:color w:val="000000"/>
          <w:sz w:val="32"/>
          <w:szCs w:val="32"/>
        </w:rPr>
        <w:t>47</w:t>
      </w:r>
      <w:r>
        <w:rPr>
          <w:rFonts w:hint="eastAsia" w:ascii="Times New Roman" w:hAnsi="Times New Roman" w:eastAsia="仿宋" w:cs="仿宋_GB2312"/>
          <w:color w:val="000000"/>
          <w:sz w:val="32"/>
          <w:szCs w:val="32"/>
        </w:rPr>
        <w:t>名，按程序为</w:t>
      </w:r>
      <w:r>
        <w:rPr>
          <w:rFonts w:ascii="Times New Roman" w:hAnsi="Times New Roman" w:eastAsia="仿宋" w:cs="仿宋_GB2312"/>
          <w:color w:val="000000"/>
          <w:sz w:val="32"/>
          <w:szCs w:val="32"/>
        </w:rPr>
        <w:t>66</w:t>
      </w:r>
      <w:r>
        <w:rPr>
          <w:rFonts w:hint="eastAsia" w:ascii="Times New Roman" w:hAnsi="Times New Roman" w:eastAsia="仿宋" w:cs="仿宋_GB2312"/>
          <w:color w:val="000000"/>
          <w:sz w:val="32"/>
          <w:szCs w:val="32"/>
        </w:rPr>
        <w:t>名干部晋升职级。加强干部交流轮岗，对在同一岗位工作</w:t>
      </w:r>
      <w:r>
        <w:rPr>
          <w:rFonts w:ascii="Times New Roman" w:hAnsi="Times New Roman" w:eastAsia="仿宋" w:cs="仿宋_GB2312"/>
          <w:color w:val="000000"/>
          <w:sz w:val="32"/>
          <w:szCs w:val="32"/>
        </w:rPr>
        <w:t>10</w:t>
      </w:r>
      <w:r>
        <w:rPr>
          <w:rFonts w:hint="eastAsia" w:ascii="Times New Roman" w:hAnsi="Times New Roman" w:eastAsia="仿宋" w:cs="仿宋_GB2312"/>
          <w:color w:val="000000"/>
          <w:sz w:val="32"/>
          <w:szCs w:val="32"/>
        </w:rPr>
        <w:t>年以上的干部进行摸底分析，交流轮岗科级领导干部</w:t>
      </w:r>
      <w:r>
        <w:rPr>
          <w:rFonts w:ascii="Times New Roman" w:hAnsi="Times New Roman" w:eastAsia="仿宋" w:cs="仿宋_GB2312"/>
          <w:color w:val="000000"/>
          <w:sz w:val="32"/>
          <w:szCs w:val="32"/>
        </w:rPr>
        <w:t>25</w:t>
      </w:r>
      <w:r>
        <w:rPr>
          <w:rFonts w:hint="eastAsia" w:ascii="Times New Roman" w:hAnsi="Times New Roman" w:eastAsia="仿宋" w:cs="仿宋_GB2312"/>
          <w:color w:val="000000"/>
          <w:sz w:val="32"/>
          <w:szCs w:val="32"/>
        </w:rPr>
        <w:t>人、科级以下干部</w:t>
      </w:r>
      <w:r>
        <w:rPr>
          <w:rFonts w:ascii="Times New Roman" w:hAnsi="Times New Roman" w:eastAsia="仿宋" w:cs="仿宋_GB2312"/>
          <w:color w:val="000000"/>
          <w:sz w:val="32"/>
          <w:szCs w:val="32"/>
        </w:rPr>
        <w:t>280</w:t>
      </w:r>
      <w:r>
        <w:rPr>
          <w:rFonts w:hint="eastAsia" w:ascii="Times New Roman" w:hAnsi="Times New Roman" w:eastAsia="仿宋" w:cs="仿宋_GB2312"/>
          <w:color w:val="000000"/>
          <w:sz w:val="32"/>
          <w:szCs w:val="32"/>
        </w:rPr>
        <w:t>人。坚持抓早抓小，防微杜渐，常态化加强干部日常监督工作，共谈话提醒</w:t>
      </w:r>
      <w:r>
        <w:rPr>
          <w:rFonts w:ascii="Times New Roman" w:hAnsi="Times New Roman" w:eastAsia="仿宋" w:cs="仿宋_GB2312"/>
          <w:color w:val="000000"/>
          <w:sz w:val="32"/>
          <w:szCs w:val="32"/>
        </w:rPr>
        <w:t>10</w:t>
      </w:r>
      <w:r>
        <w:rPr>
          <w:rFonts w:hint="eastAsia" w:ascii="Times New Roman" w:hAnsi="Times New Roman" w:eastAsia="仿宋" w:cs="仿宋_GB2312"/>
          <w:color w:val="000000"/>
          <w:sz w:val="32"/>
          <w:szCs w:val="32"/>
        </w:rPr>
        <w:t>人次、函询</w:t>
      </w:r>
      <w:r>
        <w:rPr>
          <w:rFonts w:ascii="Times New Roman" w:hAnsi="Times New Roman" w:eastAsia="仿宋" w:cs="仿宋_GB2312"/>
          <w:color w:val="000000"/>
          <w:sz w:val="32"/>
          <w:szCs w:val="32"/>
        </w:rPr>
        <w:t>3</w:t>
      </w:r>
      <w:r>
        <w:rPr>
          <w:rFonts w:hint="eastAsia" w:ascii="Times New Roman" w:hAnsi="Times New Roman" w:eastAsia="仿宋" w:cs="仿宋_GB2312"/>
          <w:color w:val="000000"/>
          <w:sz w:val="32"/>
          <w:szCs w:val="32"/>
        </w:rPr>
        <w:t>人、诫勉</w:t>
      </w:r>
      <w:r>
        <w:rPr>
          <w:rFonts w:ascii="Times New Roman" w:hAnsi="Times New Roman" w:eastAsia="仿宋" w:cs="仿宋_GB2312"/>
          <w:color w:val="000000"/>
          <w:sz w:val="32"/>
          <w:szCs w:val="32"/>
        </w:rPr>
        <w:t>1</w:t>
      </w:r>
      <w:r>
        <w:rPr>
          <w:rFonts w:hint="eastAsia" w:ascii="Times New Roman" w:hAnsi="Times New Roman" w:eastAsia="仿宋" w:cs="仿宋_GB2312"/>
          <w:color w:val="000000"/>
          <w:sz w:val="32"/>
          <w:szCs w:val="32"/>
        </w:rPr>
        <w:t>人。建立健全干部监督信息成果共享机制，每季度与纪委监委、巡察、政法、审计、信访等单位信息交流共享，有效运用干部监督信息成果，前移监督关口，认真做好单位或个人评先评优的审查，有效防止干部“带病提拔”“带病评优”。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实行“清单管理</w:t>
      </w:r>
      <w:r>
        <w:rPr>
          <w:rFonts w:hint="eastAsia" w:ascii="仿宋_GB2312" w:hAnsi="仿宋" w:cs="宋体"/>
          <w:color w:val="000000"/>
          <w:kern w:val="0"/>
          <w:sz w:val="32"/>
          <w:szCs w:val="32"/>
        </w:rPr>
        <w:t>”，</w:t>
      </w:r>
      <w:r>
        <w:rPr>
          <w:rFonts w:hint="eastAsia" w:ascii="Times New Roman" w:hAnsi="Times New Roman" w:eastAsia="仿宋" w:cs="仿宋_GB2312"/>
          <w:color w:val="000000"/>
          <w:sz w:val="32"/>
          <w:szCs w:val="32"/>
        </w:rPr>
        <w:t>全面落实省委加强基层建设“</w:t>
      </w:r>
      <w:r>
        <w:rPr>
          <w:rFonts w:ascii="Times New Roman" w:hAnsi="Times New Roman" w:eastAsia="仿宋" w:cs="仿宋_GB2312"/>
          <w:color w:val="000000"/>
          <w:sz w:val="32"/>
          <w:szCs w:val="32"/>
        </w:rPr>
        <w:t>1+5</w:t>
      </w:r>
      <w:r>
        <w:rPr>
          <w:rFonts w:hint="eastAsia" w:ascii="Times New Roman" w:hAnsi="Times New Roman" w:eastAsia="仿宋" w:cs="仿宋_GB2312"/>
          <w:color w:val="000000"/>
          <w:sz w:val="32"/>
          <w:szCs w:val="32"/>
        </w:rPr>
        <w:t>”文件精神，乡镇公务员经济待遇高于县直机关公务员</w:t>
      </w:r>
      <w:r>
        <w:rPr>
          <w:rFonts w:ascii="Times New Roman" w:hAnsi="Times New Roman" w:eastAsia="仿宋" w:cs="仿宋_GB2312"/>
          <w:color w:val="000000"/>
          <w:sz w:val="32"/>
          <w:szCs w:val="32"/>
        </w:rPr>
        <w:t>20%</w:t>
      </w:r>
      <w:r>
        <w:rPr>
          <w:rFonts w:hint="eastAsia" w:ascii="Times New Roman" w:hAnsi="Times New Roman" w:eastAsia="仿宋" w:cs="仿宋_GB2312"/>
          <w:color w:val="000000"/>
          <w:sz w:val="32"/>
          <w:szCs w:val="32"/>
        </w:rPr>
        <w:t>，公务员年度考核优秀指标向乡镇倾斜，统筹安排专项经费，组织乡镇（街道）党政正职进行健康体检。热情耐心做好公务员工资福利管理工作，顺利稳妥按时完成</w:t>
      </w:r>
      <w:r>
        <w:rPr>
          <w:rFonts w:ascii="Times New Roman" w:hAnsi="Times New Roman" w:eastAsia="仿宋" w:cs="仿宋_GB2312"/>
          <w:color w:val="000000"/>
          <w:sz w:val="32"/>
          <w:szCs w:val="32"/>
        </w:rPr>
        <w:t>2022</w:t>
      </w:r>
      <w:r>
        <w:rPr>
          <w:rFonts w:hint="eastAsia" w:ascii="Times New Roman" w:hAnsi="Times New Roman" w:eastAsia="仿宋" w:cs="仿宋_GB2312"/>
          <w:color w:val="000000"/>
          <w:sz w:val="32"/>
          <w:szCs w:val="32"/>
        </w:rPr>
        <w:t>年公务员招录工作。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坚持政治建部、文化立部、实干兴部、从严治部，不断提升机关管理制度化、科学化、规范化水平，常态化开展“组工讲堂””书香组工”，</w:t>
      </w:r>
      <w:r>
        <w:rPr>
          <w:rFonts w:hint="eastAsia" w:ascii="仿宋" w:hAnsi="仿宋" w:eastAsia="仿宋" w:cs="仿宋"/>
          <w:color w:val="000000"/>
          <w:spacing w:val="-6"/>
          <w:sz w:val="32"/>
          <w:szCs w:val="32"/>
        </w:rPr>
        <w:t>结合“主题党日”开展组工干部“助力社区疫情防控”、创卫志愿服务、交通文明劝导等“为民办实事”活动，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推动形成职责明晰、管理科学、运行高效、服务优质、配合有力、监督到位的工作机制，致力锻造一支“四强四有”组工铁军。隆回县在全省组工信息编报业务片会上作交流发言。</w:t>
      </w:r>
    </w:p>
    <w:p>
      <w:pPr>
        <w:overflowPunct w:val="0"/>
        <w:spacing w:line="560" w:lineRule="exact"/>
        <w:ind w:firstLine="640" w:firstLineChars="200"/>
        <w:rPr>
          <w:rFonts w:hint="eastAsia" w:ascii="Times New Roman" w:hAnsi="Times New Roman" w:eastAsia="仿宋" w:cs="仿宋_GB2312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三、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>聚焦“智汇隆回”，招才引智激活力</w:t>
      </w: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。</w:t>
      </w:r>
      <w:r>
        <w:rPr>
          <w:rFonts w:hint="eastAsia" w:ascii="Times New Roman" w:hAnsi="Times New Roman" w:eastAsia="仿宋" w:cs="仿宋_GB2312"/>
          <w:color w:val="000000"/>
          <w:sz w:val="32"/>
          <w:szCs w:val="32"/>
        </w:rPr>
        <w:t>深入实施人才强县战略，成立人才工作领导小组，定期召开会议研究部署人才工作，构建起县委统一领导，组织部门牵头抓总，有关部门各司其职、密切配合，用人单位发挥主体作用、社会力量广泛参与的的人才工作格局。优化魏源人才行动计划，出台《隆回县引进人才购房补贴实施办法》等“</w:t>
      </w:r>
      <w:r>
        <w:rPr>
          <w:rFonts w:ascii="Times New Roman" w:hAnsi="Times New Roman" w:eastAsia="仿宋" w:cs="仿宋_GB2312"/>
          <w:color w:val="000000"/>
          <w:sz w:val="32"/>
          <w:szCs w:val="32"/>
        </w:rPr>
        <w:t>1+4</w:t>
      </w:r>
      <w:r>
        <w:rPr>
          <w:rFonts w:hint="eastAsia" w:ascii="Times New Roman" w:hAnsi="Times New Roman" w:eastAsia="仿宋" w:cs="仿宋_GB2312"/>
          <w:color w:val="000000"/>
          <w:sz w:val="32"/>
          <w:szCs w:val="32"/>
        </w:rPr>
        <w:t>”配套措施，从薪酬待遇、子女教育、住房补贴、编制晋升等方面，提高人才引育留用政策含金量、吸引力。组建隆回县人才发展服务中心，配齐配强工作力量，打造集引才、育才、用才于一体的服务平台。设立人才发展专项资金</w:t>
      </w:r>
      <w:r>
        <w:rPr>
          <w:rFonts w:ascii="Times New Roman" w:hAnsi="Times New Roman" w:eastAsia="仿宋" w:cs="仿宋_GB2312"/>
          <w:color w:val="000000"/>
          <w:sz w:val="32"/>
          <w:szCs w:val="32"/>
        </w:rPr>
        <w:t>1000</w:t>
      </w:r>
      <w:r>
        <w:rPr>
          <w:rFonts w:hint="eastAsia" w:ascii="Times New Roman" w:hAnsi="Times New Roman" w:eastAsia="仿宋" w:cs="仿宋_GB2312"/>
          <w:color w:val="000000"/>
          <w:sz w:val="32"/>
          <w:szCs w:val="32"/>
        </w:rPr>
        <w:t>万元</w:t>
      </w:r>
      <w:r>
        <w:rPr>
          <w:rFonts w:ascii="Times New Roman" w:hAnsi="Times New Roman" w:eastAsia="仿宋" w:cs="仿宋_GB2312"/>
          <w:color w:val="000000"/>
          <w:sz w:val="32"/>
          <w:szCs w:val="32"/>
        </w:rPr>
        <w:t>/</w:t>
      </w:r>
      <w:r>
        <w:rPr>
          <w:rFonts w:hint="eastAsia" w:ascii="Times New Roman" w:hAnsi="Times New Roman" w:eastAsia="仿宋" w:cs="仿宋_GB2312"/>
          <w:color w:val="000000"/>
          <w:sz w:val="32"/>
          <w:szCs w:val="32"/>
        </w:rPr>
        <w:t>年，强化人才引育留用、服务保障、载体建设等经费保障。</w:t>
      </w:r>
      <w:r>
        <w:rPr>
          <w:rFonts w:hint="eastAsia" w:ascii="Times New Roman" w:hAnsi="Times New Roman" w:eastAsia="仿宋" w:cs="方正仿宋_GBK"/>
          <w:color w:val="000000"/>
          <w:kern w:val="0"/>
          <w:sz w:val="32"/>
          <w:szCs w:val="32"/>
          <w:shd w:val="clear" w:color="auto" w:fill="FFFFFF"/>
          <w:lang w:bidi="ar"/>
        </w:rPr>
        <w:t>组织开展人才资源摸底，</w:t>
      </w:r>
      <w:r>
        <w:rPr>
          <w:rFonts w:hint="eastAsia" w:ascii="Times New Roman" w:hAnsi="Times New Roman" w:eastAsia="仿宋" w:cs="仿宋_GB2312"/>
          <w:color w:val="000000"/>
          <w:sz w:val="32"/>
          <w:szCs w:val="32"/>
        </w:rPr>
        <w:t>根据急需紧缺人才摸底情况，分期分批组织开展人才引进。</w:t>
      </w:r>
      <w:r>
        <w:rPr>
          <w:rFonts w:ascii="Times New Roman" w:hAnsi="Times New Roman" w:eastAsia="仿宋" w:cs="仿宋_GB2312"/>
          <w:color w:val="000000"/>
          <w:sz w:val="32"/>
          <w:szCs w:val="32"/>
        </w:rPr>
        <w:t>2022</w:t>
      </w:r>
      <w:r>
        <w:rPr>
          <w:rFonts w:hint="eastAsia" w:ascii="Times New Roman" w:hAnsi="Times New Roman" w:eastAsia="仿宋" w:cs="仿宋_GB2312"/>
          <w:color w:val="000000"/>
          <w:sz w:val="32"/>
          <w:szCs w:val="32"/>
        </w:rPr>
        <w:t>年引进高层次人才</w:t>
      </w:r>
      <w:r>
        <w:rPr>
          <w:rFonts w:ascii="Times New Roman" w:hAnsi="Times New Roman" w:eastAsia="仿宋" w:cs="仿宋_GB2312"/>
          <w:color w:val="000000"/>
          <w:sz w:val="32"/>
          <w:szCs w:val="32"/>
        </w:rPr>
        <w:t>13</w:t>
      </w:r>
      <w:r>
        <w:rPr>
          <w:rFonts w:hint="eastAsia" w:ascii="Times New Roman" w:hAnsi="Times New Roman" w:eastAsia="仿宋" w:cs="仿宋_GB2312"/>
          <w:color w:val="000000"/>
          <w:sz w:val="32"/>
          <w:szCs w:val="32"/>
        </w:rPr>
        <w:t>名，柔性引进省市科技特派员</w:t>
      </w:r>
      <w:r>
        <w:rPr>
          <w:rFonts w:ascii="Times New Roman" w:hAnsi="Times New Roman" w:eastAsia="仿宋" w:cs="仿宋_GB2312"/>
          <w:color w:val="000000"/>
          <w:sz w:val="32"/>
          <w:szCs w:val="32"/>
        </w:rPr>
        <w:t>19</w:t>
      </w:r>
      <w:r>
        <w:rPr>
          <w:rFonts w:hint="eastAsia" w:ascii="Times New Roman" w:hAnsi="Times New Roman" w:eastAsia="仿宋" w:cs="仿宋_GB2312"/>
          <w:color w:val="000000"/>
          <w:sz w:val="32"/>
          <w:szCs w:val="32"/>
        </w:rPr>
        <w:t>名，公开招聘引进各类专业技术人才</w:t>
      </w:r>
      <w:r>
        <w:rPr>
          <w:rFonts w:ascii="Times New Roman" w:hAnsi="Times New Roman" w:eastAsia="仿宋" w:cs="仿宋_GB2312"/>
          <w:color w:val="000000"/>
          <w:sz w:val="32"/>
          <w:szCs w:val="32"/>
        </w:rPr>
        <w:t>955</w:t>
      </w:r>
      <w:r>
        <w:rPr>
          <w:rFonts w:hint="eastAsia" w:ascii="Times New Roman" w:hAnsi="Times New Roman" w:eastAsia="仿宋" w:cs="仿宋_GB2312"/>
          <w:color w:val="000000"/>
          <w:sz w:val="32"/>
          <w:szCs w:val="32"/>
        </w:rPr>
        <w:t>人，招引返乡创业能人</w:t>
      </w:r>
      <w:r>
        <w:rPr>
          <w:rFonts w:ascii="Times New Roman" w:hAnsi="Times New Roman" w:eastAsia="仿宋" w:cs="仿宋_GB2312"/>
          <w:color w:val="000000"/>
          <w:sz w:val="32"/>
          <w:szCs w:val="32"/>
        </w:rPr>
        <w:t>820</w:t>
      </w:r>
      <w:r>
        <w:rPr>
          <w:rFonts w:hint="eastAsia" w:ascii="Times New Roman" w:hAnsi="Times New Roman" w:eastAsia="仿宋" w:cs="仿宋_GB2312"/>
          <w:color w:val="000000"/>
          <w:sz w:val="32"/>
          <w:szCs w:val="32"/>
        </w:rPr>
        <w:t>人，采取顾问指导、“候鸟式”聘任、兼职挂任等多种方式打造人才集群。深化“智汇潇湘（隆回）·高校共行”校地合作，明确</w:t>
      </w:r>
      <w:r>
        <w:rPr>
          <w:rFonts w:ascii="Times New Roman" w:hAnsi="Times New Roman" w:eastAsia="仿宋" w:cs="仿宋_GB2312"/>
          <w:color w:val="000000"/>
          <w:sz w:val="32"/>
          <w:szCs w:val="32"/>
        </w:rPr>
        <w:t>9</w:t>
      </w:r>
      <w:r>
        <w:rPr>
          <w:rFonts w:hint="eastAsia" w:ascii="Times New Roman" w:hAnsi="Times New Roman" w:eastAsia="仿宋" w:cs="仿宋_GB2312"/>
          <w:color w:val="000000"/>
          <w:sz w:val="32"/>
          <w:szCs w:val="32"/>
        </w:rPr>
        <w:t>个板块</w:t>
      </w:r>
      <w:r>
        <w:rPr>
          <w:rFonts w:ascii="Times New Roman" w:hAnsi="Times New Roman" w:eastAsia="仿宋" w:cs="仿宋_GB2312"/>
          <w:color w:val="000000"/>
          <w:sz w:val="32"/>
          <w:szCs w:val="32"/>
        </w:rPr>
        <w:t>22</w:t>
      </w:r>
      <w:r>
        <w:rPr>
          <w:rFonts w:hint="eastAsia" w:ascii="Times New Roman" w:hAnsi="Times New Roman" w:eastAsia="仿宋" w:cs="仿宋_GB2312"/>
          <w:color w:val="000000"/>
          <w:sz w:val="32"/>
          <w:szCs w:val="32"/>
        </w:rPr>
        <w:t>条具体任务清单，开发“智汇隆回”人才信息系统，共建“隆回人才信息库”和人才需求目录。创办全省首家县级乡村振兴学校，加大农村定向大学生公费培养力度，鼓励引导人才向艰苦边远地区和基层一线流动，推动科教文卫体等</w:t>
      </w:r>
      <w:r>
        <w:rPr>
          <w:rFonts w:ascii="Times New Roman" w:hAnsi="Times New Roman" w:eastAsia="仿宋" w:cs="仿宋_GB2312"/>
          <w:color w:val="000000"/>
          <w:sz w:val="32"/>
          <w:szCs w:val="32"/>
        </w:rPr>
        <w:t>5864</w:t>
      </w:r>
      <w:r>
        <w:rPr>
          <w:rFonts w:hint="eastAsia" w:ascii="Times New Roman" w:hAnsi="Times New Roman" w:eastAsia="仿宋" w:cs="仿宋_GB2312"/>
          <w:color w:val="000000"/>
          <w:sz w:val="32"/>
          <w:szCs w:val="32"/>
        </w:rPr>
        <w:t>名工作人员服务乡村振兴。积极发挥科技专家服务团作用，</w:t>
      </w:r>
      <w:r>
        <w:rPr>
          <w:rFonts w:ascii="Times New Roman" w:hAnsi="Times New Roman" w:eastAsia="仿宋" w:cs="仿宋_GB2312"/>
          <w:color w:val="000000"/>
          <w:sz w:val="32"/>
          <w:szCs w:val="32"/>
        </w:rPr>
        <w:t>124</w:t>
      </w:r>
      <w:r>
        <w:rPr>
          <w:rFonts w:hint="eastAsia" w:ascii="Times New Roman" w:hAnsi="Times New Roman" w:eastAsia="仿宋" w:cs="仿宋_GB2312"/>
          <w:color w:val="000000"/>
          <w:sz w:val="32"/>
          <w:szCs w:val="32"/>
        </w:rPr>
        <w:t>名科技专家深入</w:t>
      </w:r>
      <w:r>
        <w:rPr>
          <w:rFonts w:ascii="Times New Roman" w:hAnsi="Times New Roman" w:eastAsia="仿宋" w:cs="仿宋_GB2312"/>
          <w:color w:val="000000"/>
          <w:sz w:val="32"/>
          <w:szCs w:val="32"/>
        </w:rPr>
        <w:t>469</w:t>
      </w:r>
      <w:r>
        <w:rPr>
          <w:rFonts w:hint="eastAsia" w:ascii="Times New Roman" w:hAnsi="Times New Roman" w:eastAsia="仿宋" w:cs="仿宋_GB2312"/>
          <w:color w:val="000000"/>
          <w:sz w:val="32"/>
          <w:szCs w:val="32"/>
        </w:rPr>
        <w:t>个村（社区）的企业、合作社和田间地头开展技术培训。</w:t>
      </w:r>
    </w:p>
    <w:p>
      <w:pPr>
        <w:overflowPunct w:val="0"/>
        <w:spacing w:line="560" w:lineRule="exact"/>
        <w:ind w:firstLine="640" w:firstLineChars="200"/>
        <w:rPr>
          <w:rFonts w:hint="eastAsia" w:ascii="仿宋_GB2312" w:hAnsi="仿宋" w:eastAsia="仿宋_GB2312" w:cs="Times New Roman"/>
          <w:b w:val="0"/>
          <w:bCs w:val="0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</w:rPr>
        <w:t>（三）</w:t>
      </w:r>
      <w:r>
        <w:rPr>
          <w:rFonts w:hint="eastAsia" w:ascii="仿宋_GB2312" w:hAnsi="仿宋" w:eastAsia="仿宋_GB2312" w:cs="Times New Roman"/>
          <w:b w:val="0"/>
          <w:bCs w:val="0"/>
          <w:sz w:val="32"/>
          <w:szCs w:val="32"/>
          <w:lang w:eastAsia="zh-CN"/>
        </w:rPr>
        <w:t>部门整体支出情况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640" w:firstLineChars="200"/>
        <w:jc w:val="left"/>
        <w:textAlignment w:val="auto"/>
        <w:rPr>
          <w:rFonts w:hint="eastAsia" w:ascii="仿宋_GB2312" w:hAnsi="仿宋" w:eastAsia="仿宋_GB2312" w:cs="Times New Roman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" w:eastAsia="仿宋_GB2312" w:cs="Times New Roman"/>
          <w:b w:val="0"/>
          <w:bCs w:val="0"/>
          <w:sz w:val="32"/>
          <w:szCs w:val="32"/>
          <w:lang w:eastAsia="zh-CN"/>
        </w:rPr>
        <w:t>我单位20</w:t>
      </w:r>
      <w:r>
        <w:rPr>
          <w:rFonts w:hint="eastAsia" w:ascii="仿宋_GB2312" w:hAnsi="仿宋" w:eastAsia="仿宋_GB2312" w:cs="Times New Roman"/>
          <w:b w:val="0"/>
          <w:bCs w:val="0"/>
          <w:sz w:val="32"/>
          <w:szCs w:val="32"/>
          <w:lang w:val="en-US" w:eastAsia="zh-CN"/>
        </w:rPr>
        <w:t>22</w:t>
      </w:r>
      <w:r>
        <w:rPr>
          <w:rFonts w:hint="eastAsia" w:ascii="仿宋_GB2312" w:hAnsi="仿宋" w:eastAsia="仿宋_GB2312" w:cs="Times New Roman"/>
          <w:b w:val="0"/>
          <w:bCs w:val="0"/>
          <w:sz w:val="32"/>
          <w:szCs w:val="32"/>
          <w:lang w:eastAsia="zh-CN"/>
        </w:rPr>
        <w:t>年度年末部门决算数收入</w:t>
      </w:r>
      <w:r>
        <w:rPr>
          <w:rFonts w:hint="eastAsia" w:ascii="仿宋_GB2312" w:hAnsi="仿宋" w:eastAsia="仿宋_GB2312" w:cs="Times New Roman"/>
          <w:b w:val="0"/>
          <w:bCs w:val="0"/>
          <w:sz w:val="32"/>
          <w:szCs w:val="32"/>
          <w:lang w:val="en-US" w:eastAsia="zh-CN"/>
        </w:rPr>
        <w:t>1893.22万元，本年支出1893.22万元。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ascii="黑体" w:hAnsi="黑体" w:eastAsia="黑体"/>
          <w:b/>
          <w:bCs/>
          <w:sz w:val="32"/>
          <w:szCs w:val="32"/>
        </w:rPr>
      </w:pPr>
      <w:r>
        <w:rPr>
          <w:rFonts w:hint="eastAsia" w:ascii="黑体" w:hAnsi="黑体" w:eastAsia="黑体"/>
          <w:b/>
          <w:bCs/>
          <w:sz w:val="32"/>
          <w:szCs w:val="32"/>
        </w:rPr>
        <w:t>二、部门整体支出管理及使用情况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640" w:firstLineChars="200"/>
        <w:jc w:val="left"/>
        <w:textAlignment w:val="auto"/>
        <w:rPr>
          <w:rFonts w:hint="eastAsia" w:ascii="仿宋_GB2312" w:hAnsi="仿宋" w:eastAsia="仿宋_GB2312" w:cs="Times New Roman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" w:eastAsia="仿宋_GB2312" w:cs="Times New Roman"/>
          <w:b w:val="0"/>
          <w:bCs w:val="0"/>
          <w:sz w:val="32"/>
          <w:szCs w:val="32"/>
          <w:lang w:eastAsia="zh-CN"/>
        </w:rPr>
        <w:t>（一）基本支出情况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640" w:firstLineChars="200"/>
        <w:jc w:val="left"/>
        <w:textAlignment w:val="auto"/>
        <w:rPr>
          <w:rFonts w:hint="eastAsia" w:ascii="仿宋_GB2312" w:hAnsi="仿宋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Times New Roman"/>
          <w:b w:val="0"/>
          <w:bCs w:val="0"/>
          <w:sz w:val="32"/>
          <w:szCs w:val="32"/>
          <w:lang w:val="en-US" w:eastAsia="zh-CN"/>
        </w:rPr>
        <w:t>基本支出646.48万元，占比34.15%。</w:t>
      </w:r>
      <w:r>
        <w:rPr>
          <w:rFonts w:hint="eastAsia" w:ascii="仿宋_GB2312" w:hAnsi="仿宋" w:eastAsia="仿宋_GB2312" w:cs="Times New Roman"/>
          <w:b w:val="0"/>
          <w:bCs w:val="0"/>
          <w:sz w:val="32"/>
          <w:szCs w:val="32"/>
          <w:lang w:eastAsia="zh-CN"/>
        </w:rPr>
        <w:t>是指为保障单位机构正常运转、完成日常工作任务而发生的各项支出，包括用于基本工资、津贴补贴、退休人员生活补助等人员经费以及办公费、印刷费、水电费及办公设备购置等日常公用经费。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640" w:firstLineChars="200"/>
        <w:jc w:val="left"/>
        <w:textAlignment w:val="auto"/>
        <w:rPr>
          <w:rFonts w:hint="eastAsia" w:ascii="仿宋_GB2312" w:hAnsi="仿宋" w:eastAsia="仿宋_GB2312" w:cs="Times New Roman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" w:eastAsia="仿宋_GB2312" w:cs="Times New Roman"/>
          <w:b w:val="0"/>
          <w:bCs w:val="0"/>
          <w:sz w:val="32"/>
          <w:szCs w:val="32"/>
          <w:lang w:eastAsia="zh-CN"/>
        </w:rPr>
        <w:t>（二）项目支出情况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640" w:firstLineChars="200"/>
        <w:jc w:val="left"/>
        <w:textAlignment w:val="auto"/>
        <w:rPr>
          <w:rFonts w:hint="eastAsia" w:ascii="仿宋_GB2312" w:hAnsi="仿宋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Times New Roman"/>
          <w:b w:val="0"/>
          <w:bCs w:val="0"/>
          <w:sz w:val="32"/>
          <w:szCs w:val="32"/>
          <w:lang w:val="en-US" w:eastAsia="zh-CN"/>
        </w:rPr>
        <w:t>项目支出1246.74万元，占比65.85%。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640" w:firstLineChars="200"/>
        <w:jc w:val="left"/>
        <w:textAlignment w:val="auto"/>
        <w:rPr>
          <w:rFonts w:hint="eastAsia" w:ascii="仿宋_GB2312" w:hAnsi="仿宋" w:eastAsia="仿宋_GB2312" w:cs="Times New Roman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" w:eastAsia="仿宋_GB2312" w:cs="Times New Roman"/>
          <w:b w:val="0"/>
          <w:bCs w:val="0"/>
          <w:sz w:val="32"/>
          <w:szCs w:val="32"/>
          <w:lang w:eastAsia="zh-CN"/>
        </w:rPr>
        <w:t>（三）“三公”经费情况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640" w:firstLineChars="200"/>
        <w:jc w:val="left"/>
        <w:textAlignment w:val="auto"/>
        <w:rPr>
          <w:rFonts w:hint="eastAsia" w:ascii="仿宋_GB2312" w:hAnsi="仿宋" w:eastAsia="仿宋_GB2312" w:cs="Times New Roman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" w:eastAsia="仿宋_GB2312" w:cs="Times New Roman"/>
          <w:b w:val="0"/>
          <w:bCs w:val="0"/>
          <w:sz w:val="32"/>
          <w:szCs w:val="32"/>
          <w:lang w:eastAsia="zh-CN"/>
        </w:rPr>
        <w:t>1．我单位因公出国共组团 0个，共0人支出0元。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640" w:firstLineChars="200"/>
        <w:jc w:val="left"/>
        <w:textAlignment w:val="auto"/>
        <w:rPr>
          <w:rFonts w:hint="eastAsia" w:ascii="仿宋_GB2312" w:hAnsi="仿宋" w:eastAsia="仿宋_GB2312" w:cs="Times New Roman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" w:eastAsia="仿宋_GB2312" w:cs="Times New Roman"/>
          <w:b w:val="0"/>
          <w:bCs w:val="0"/>
          <w:sz w:val="32"/>
          <w:szCs w:val="32"/>
          <w:lang w:val="en-US" w:eastAsia="zh-CN"/>
        </w:rPr>
        <w:t>2.</w:t>
      </w:r>
      <w:r>
        <w:rPr>
          <w:rFonts w:hint="eastAsia" w:ascii="仿宋_GB2312" w:hAnsi="仿宋" w:eastAsia="仿宋_GB2312" w:cs="Times New Roman"/>
          <w:b w:val="0"/>
          <w:bCs w:val="0"/>
          <w:sz w:val="32"/>
          <w:szCs w:val="32"/>
          <w:lang w:eastAsia="zh-CN"/>
        </w:rPr>
        <w:t>公务招待共</w:t>
      </w:r>
      <w:r>
        <w:rPr>
          <w:rFonts w:hint="eastAsia" w:ascii="仿宋_GB2312" w:hAnsi="仿宋" w:eastAsia="仿宋_GB2312" w:cs="Times New Roman"/>
          <w:b w:val="0"/>
          <w:bCs w:val="0"/>
          <w:sz w:val="32"/>
          <w:szCs w:val="32"/>
          <w:lang w:val="en-US" w:eastAsia="zh-CN"/>
        </w:rPr>
        <w:t>112</w:t>
      </w:r>
      <w:r>
        <w:rPr>
          <w:rFonts w:hint="eastAsia" w:ascii="仿宋_GB2312" w:hAnsi="仿宋" w:eastAsia="仿宋_GB2312" w:cs="Times New Roman"/>
          <w:b w:val="0"/>
          <w:bCs w:val="0"/>
          <w:sz w:val="32"/>
          <w:szCs w:val="32"/>
          <w:lang w:eastAsia="zh-CN"/>
        </w:rPr>
        <w:t>批次，总人数</w:t>
      </w:r>
      <w:r>
        <w:rPr>
          <w:rFonts w:hint="eastAsia" w:ascii="仿宋_GB2312" w:hAnsi="仿宋" w:eastAsia="仿宋_GB2312" w:cs="Times New Roman"/>
          <w:b w:val="0"/>
          <w:bCs w:val="0"/>
          <w:sz w:val="32"/>
          <w:szCs w:val="32"/>
          <w:lang w:val="en-US" w:eastAsia="zh-CN"/>
        </w:rPr>
        <w:t>920</w:t>
      </w:r>
      <w:r>
        <w:rPr>
          <w:rFonts w:hint="eastAsia" w:ascii="仿宋_GB2312" w:hAnsi="仿宋" w:eastAsia="仿宋_GB2312" w:cs="Times New Roman"/>
          <w:b w:val="0"/>
          <w:bCs w:val="0"/>
          <w:sz w:val="32"/>
          <w:szCs w:val="32"/>
          <w:lang w:eastAsia="zh-CN"/>
        </w:rPr>
        <w:t>人，总支出</w:t>
      </w:r>
      <w:r>
        <w:rPr>
          <w:rFonts w:hint="eastAsia" w:ascii="仿宋_GB2312" w:hAnsi="仿宋" w:eastAsia="仿宋_GB2312" w:cs="Times New Roman"/>
          <w:b w:val="0"/>
          <w:bCs w:val="0"/>
          <w:sz w:val="32"/>
          <w:szCs w:val="32"/>
          <w:lang w:val="en-US" w:eastAsia="zh-CN"/>
        </w:rPr>
        <w:t>11.7万</w:t>
      </w:r>
      <w:r>
        <w:rPr>
          <w:rFonts w:hint="eastAsia" w:ascii="仿宋_GB2312" w:hAnsi="仿宋" w:eastAsia="仿宋_GB2312" w:cs="Times New Roman"/>
          <w:b w:val="0"/>
          <w:bCs w:val="0"/>
          <w:sz w:val="32"/>
          <w:szCs w:val="32"/>
          <w:lang w:eastAsia="zh-CN"/>
        </w:rPr>
        <w:t>元。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640" w:firstLineChars="200"/>
        <w:jc w:val="left"/>
        <w:textAlignment w:val="auto"/>
        <w:rPr>
          <w:rFonts w:hint="eastAsia" w:ascii="仿宋_GB2312" w:hAnsi="仿宋" w:eastAsia="仿宋_GB2312" w:cs="Times New Roman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" w:eastAsia="仿宋_GB2312" w:cs="Times New Roman"/>
          <w:b w:val="0"/>
          <w:bCs w:val="0"/>
          <w:sz w:val="32"/>
          <w:szCs w:val="32"/>
          <w:lang w:eastAsia="zh-CN"/>
        </w:rPr>
        <w:t>3．我单位现有公务用车</w:t>
      </w:r>
      <w:r>
        <w:rPr>
          <w:rFonts w:hint="eastAsia" w:ascii="仿宋_GB2312" w:hAnsi="仿宋" w:eastAsia="仿宋_GB2312" w:cs="Times New Roman"/>
          <w:b w:val="0"/>
          <w:bCs w:val="0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 w:cs="Times New Roman"/>
          <w:b w:val="0"/>
          <w:bCs w:val="0"/>
          <w:sz w:val="32"/>
          <w:szCs w:val="32"/>
          <w:lang w:eastAsia="zh-CN"/>
        </w:rPr>
        <w:t>辆，今年未新购置车辆。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ascii="黑体" w:hAnsi="黑体" w:eastAsia="黑体"/>
          <w:b/>
          <w:bCs/>
          <w:sz w:val="32"/>
          <w:szCs w:val="32"/>
        </w:rPr>
      </w:pPr>
      <w:r>
        <w:rPr>
          <w:rFonts w:hint="eastAsia" w:ascii="黑体" w:hAnsi="黑体" w:eastAsia="黑体"/>
          <w:b/>
          <w:bCs/>
          <w:sz w:val="32"/>
          <w:szCs w:val="32"/>
        </w:rPr>
        <w:t>三、部门整体支出绩效情况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" w:eastAsia="仿宋_GB2312" w:cs="Times New Roman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" w:eastAsia="仿宋_GB2312" w:cs="Times New Roman"/>
          <w:b w:val="0"/>
          <w:bCs w:val="0"/>
          <w:sz w:val="32"/>
          <w:szCs w:val="32"/>
          <w:lang w:eastAsia="zh-CN"/>
        </w:rPr>
        <w:t>总的来看，我单位整体支出绩效较好，资金的使用有力地保障了组织工作的顺利开展、引才聚才、机构改革、抓党建促脱贫攻坚、公务员管理、老干部管理等工作的圆满完成。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黑体" w:hAnsi="黑体" w:eastAsia="黑体"/>
          <w:b/>
          <w:bCs/>
          <w:sz w:val="32"/>
          <w:szCs w:val="32"/>
        </w:rPr>
      </w:pPr>
      <w:r>
        <w:rPr>
          <w:rFonts w:hint="eastAsia" w:ascii="黑体" w:hAnsi="黑体" w:eastAsia="黑体"/>
          <w:b/>
          <w:bCs/>
          <w:sz w:val="32"/>
          <w:szCs w:val="32"/>
        </w:rPr>
        <w:t>存在的问题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" w:eastAsia="仿宋_GB2312" w:cs="Times New Roman"/>
          <w:b w:val="0"/>
          <w:bCs w:val="0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仿宋_GB2312" w:hAnsi="仿宋" w:eastAsia="仿宋_GB2312" w:cs="Times New Roman"/>
          <w:b w:val="0"/>
          <w:bCs w:val="0"/>
          <w:sz w:val="32"/>
          <w:szCs w:val="32"/>
          <w:lang w:eastAsia="zh-CN"/>
        </w:rPr>
        <w:t>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b/>
          <w:bCs/>
          <w:sz w:val="32"/>
          <w:szCs w:val="32"/>
        </w:rPr>
        <w:t>五、改进措施和有关建议</w:t>
      </w:r>
    </w:p>
    <w:p>
      <w:pPr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 xml:space="preserve">    </w:t>
      </w:r>
      <w:r>
        <w:rPr>
          <w:rFonts w:hint="eastAsia" w:ascii="仿宋_GB2312" w:hAnsi="仿宋" w:eastAsia="仿宋_GB2312" w:cs="Times New Roman"/>
          <w:b w:val="0"/>
          <w:bCs w:val="0"/>
          <w:sz w:val="32"/>
          <w:szCs w:val="32"/>
          <w:lang w:val="en-US" w:eastAsia="zh-CN"/>
        </w:rPr>
        <w:t xml:space="preserve"> 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大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161943A"/>
    <w:multiLevelType w:val="singleLevel"/>
    <w:tmpl w:val="7161943A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RmODM2OGRjNjM3NmRkN2E4M2YzZTk4ZDY5YzA1MDUifQ=="/>
    <w:docVar w:name="KSO_WPS_MARK_KEY" w:val="efbdfeaf-84d1-4ffe-b1ff-4f14c0e73f8a"/>
  </w:docVars>
  <w:rsids>
    <w:rsidRoot w:val="6AC01F4F"/>
    <w:rsid w:val="49867BD8"/>
    <w:rsid w:val="548A4E50"/>
    <w:rsid w:val="58DE3FDC"/>
    <w:rsid w:val="6AC01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99"/>
    <w:pPr>
      <w:ind w:firstLine="420" w:firstLineChars="200"/>
    </w:pPr>
  </w:style>
  <w:style w:type="paragraph" w:styleId="3">
    <w:name w:val="Body Text Indent"/>
    <w:basedOn w:val="1"/>
    <w:next w:val="4"/>
    <w:qFormat/>
    <w:uiPriority w:val="0"/>
    <w:pPr>
      <w:ind w:firstLine="640" w:firstLineChars="200"/>
    </w:pPr>
    <w:rPr>
      <w:sz w:val="32"/>
    </w:rPr>
  </w:style>
  <w:style w:type="paragraph" w:styleId="4">
    <w:name w:val="Body Text"/>
    <w:basedOn w:val="1"/>
    <w:next w:val="1"/>
    <w:qFormat/>
    <w:uiPriority w:val="0"/>
    <w:pPr>
      <w:spacing w:after="120"/>
    </w:p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4347</Words>
  <Characters>4534</Characters>
  <Lines>0</Lines>
  <Paragraphs>0</Paragraphs>
  <TotalTime>33</TotalTime>
  <ScaleCrop>false</ScaleCrop>
  <LinksUpToDate>false</LinksUpToDate>
  <CharactersWithSpaces>4710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2023-05-04T01:46:00Z</dcterms:created>
  <dc:creator>小绿蓝蓝蚂蚱</dc:creator>
  <cp:lastModifiedBy>小绿蓝蓝蚂蚱</cp:lastModifiedBy>
  <dcterms:modified xsi:type="dcterms:W3CDTF">2023-05-18T09:11:04Z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8C2B59B65FF74AA9B241A897E200CF7E</vt:lpwstr>
  </property>
</Properties>
</file>