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附件3</w:t>
      </w:r>
    </w:p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2022年度部门整体支出绩效自评基础数据表</w:t>
      </w:r>
    </w:p>
    <w:p>
      <w:pPr>
        <w:pStyle w:val="2"/>
        <w:ind w:firstLine="640"/>
      </w:pPr>
    </w:p>
    <w:p>
      <w:pPr>
        <w:pStyle w:val="2"/>
        <w:ind w:firstLine="0" w:firstLineChars="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单位名称(盖章）:隆回县</w:t>
      </w:r>
      <w:r>
        <w:rPr>
          <w:rFonts w:hint="eastAsia" w:ascii="仿宋" w:hAnsi="仿宋" w:eastAsia="仿宋" w:cs="仿宋"/>
          <w:sz w:val="24"/>
          <w:lang w:eastAsia="zh-CN"/>
        </w:rPr>
        <w:t>五里公路超限检测站</w:t>
      </w:r>
    </w:p>
    <w:tbl>
      <w:tblPr>
        <w:tblStyle w:val="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、宣传、贯彻、执行国家有关车辆超限治理的法律、法规、规章和政策；2、制定公路超限检测站的各项管理制度；3、依法对在公路上行使的车辆进行超限检测、认定、查处和纠正违法行为；4、监督当事人对超限运输车辆采取卸载、分装等消除违法状态的改正措施；5、收集、整理、上报有关检测、执法等数据和动态信息；6、管理、维护公路超限检测站的设施、设备和信息系统；7、法律、法规规定的其他职责；8承办县委、县政府和上级主管部门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544.65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709" w:type="dxa"/>
            <w:vMerge w:val="restart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771.79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227.15</w:t>
            </w: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656.31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254.56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910.86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0.28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是否存在超编超配人员：   是■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是否制定“三公”经费管理办法：是■ 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招待费用是否明确招待标准和招待人数：是■     否□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公务用车购置运行费是否比上年度下降: 是■    否□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三公经费是否比年度下降：是■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年度非税收入是否完成: 是■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是否实行收支两条线管理：是■ 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有无截留、坐支、转移等现象:有□     无■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年度是否制定了政府采购计划：是■    □否</w:t>
            </w:r>
          </w:p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165.54</w:t>
            </w:r>
            <w:r>
              <w:rPr>
                <w:rFonts w:hint="eastAsia" w:ascii="仿宋" w:hAnsi="仿宋" w:eastAsia="仿宋" w:cs="仿宋"/>
                <w:szCs w:val="21"/>
              </w:rPr>
              <w:t>万元，实际采购金额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0.76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本年度是否追加了预算:是□  否■, 追加金额    万元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本年度是否有结余: 是□   否■,结余金额     万元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预决算信息是否公开: 是■   否□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公开时间:2022年4月21日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公开方式:门户网站■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预算绩效管理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部门预算和专项资金是否编制绩效目标: 是■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是否开展绩效运行监控： 是■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是否开展绩效评价： 是■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年度绩效目标和绩效评价报告是否信息公开： 是■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上年度绩效评价反馈的问题是否整改到位： 是■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绩效监控发现的问题是否及时纠正： 是■    否□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会计机构或会计人员是否按规定设置: 是</w:t>
            </w:r>
            <w:r>
              <w:rPr>
                <w:rFonts w:hint="eastAsia" w:ascii="仿宋" w:hAnsi="仿宋" w:eastAsia="仿宋" w:cs="仿宋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会计核算是否严格执行政府会计制度准则： 是</w:t>
            </w:r>
            <w:r>
              <w:rPr>
                <w:rFonts w:hint="eastAsia" w:ascii="仿宋" w:hAnsi="仿宋" w:eastAsia="仿宋" w:cs="仿宋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</w:rPr>
              <w:t xml:space="preserve">    否□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内部控制报告编制是否规范：是</w:t>
            </w:r>
            <w:r>
              <w:rPr>
                <w:rFonts w:hint="eastAsia" w:ascii="仿宋" w:hAnsi="仿宋" w:eastAsia="仿宋" w:cs="仿宋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</w:rPr>
              <w:t xml:space="preserve">   否□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会计人员是否具备从事会计工作所需要的专业能力: 是</w:t>
            </w:r>
            <w:r>
              <w:rPr>
                <w:rFonts w:hint="eastAsia" w:ascii="仿宋" w:hAnsi="仿宋" w:eastAsia="仿宋" w:cs="仿宋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pStyle w:val="2"/>
              <w:ind w:firstLine="64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是否制定资金管理办法: 是■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资金拨付有完整的审批程序: 有■  无□</w:t>
            </w:r>
          </w:p>
          <w:p>
            <w:pPr>
              <w:ind w:left="3885" w:hanging="3885" w:hangingChars="18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资金使用是否存在违规使用资金、乱发津补贴奖金现象：是□  否■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是否制定资产管理制度: 是■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资产管理、保存、处置是否合理规范: 是■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资产是否产权清晰、两证齐全：是■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账、表、实、卡是否相符: 是■否□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重点工作是否全部完成且质量达标: 是■ 否□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</w:tcPr>
          <w:p>
            <w:pPr>
              <w:ind w:firstLine="420" w:firstLineChars="200"/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1、宣传、贯彻、执行国家有关车辆超限治理的法律、法规、规章和政策。 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2、依法对在隆回县境内公路上行驶的车辆进行超限检测，认定、查处和纠正违法行为；监督当事人对超限运输车辆采取卸载、分装等消除违法状态的改正措施。 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3、收集、整理、上报有关检测、执法等数据和动态信息。 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4、完成市对县治超绩效考核工作指标。 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5、严控“三公经费”和重点费用开支，“三公经费”在去年支出基础上不增长。 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6、法律、法规规定的其他职责。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</w:tcPr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存在问题：人员支出预算与支出比较，缺口很大;不停车检测系统维护方面，预算投入不足，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建议：</w:t>
            </w:r>
            <w:r>
              <w:rPr>
                <w:rFonts w:hint="eastAsia" w:ascii="楷体" w:hAnsi="楷体" w:eastAsia="楷体" w:cs="楷体"/>
                <w:sz w:val="24"/>
              </w:rPr>
              <w:t>一是将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不停车检测系统日常维护支出</w:t>
            </w:r>
            <w:r>
              <w:rPr>
                <w:rFonts w:hint="eastAsia" w:ascii="楷体" w:hAnsi="楷体" w:eastAsia="楷体" w:cs="楷体"/>
                <w:sz w:val="24"/>
              </w:rPr>
              <w:t>纳入单位部门预算，不作专项经费单独下达；二是根据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不停车检测系统日常维护</w:t>
            </w:r>
            <w:r>
              <w:rPr>
                <w:rFonts w:hint="eastAsia" w:ascii="楷体" w:hAnsi="楷体" w:eastAsia="楷体" w:cs="楷体"/>
                <w:sz w:val="24"/>
              </w:rPr>
              <w:t>实际资金需要，适当提高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不停车检测系统</w:t>
            </w:r>
            <w:r>
              <w:rPr>
                <w:rFonts w:hint="eastAsia" w:ascii="楷体" w:hAnsi="楷体" w:eastAsia="楷体" w:cs="楷体"/>
                <w:sz w:val="24"/>
              </w:rPr>
              <w:t>日常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维护</w:t>
            </w:r>
            <w:r>
              <w:rPr>
                <w:rFonts w:hint="eastAsia" w:ascii="楷体" w:hAnsi="楷体" w:eastAsia="楷体" w:cs="楷体"/>
                <w:sz w:val="24"/>
              </w:rPr>
              <w:t>护资金预算标准；确保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不停车检测系统管养</w:t>
            </w:r>
            <w:r>
              <w:rPr>
                <w:rFonts w:hint="eastAsia" w:ascii="楷体" w:hAnsi="楷体" w:eastAsia="楷体" w:cs="楷体"/>
                <w:sz w:val="24"/>
              </w:rPr>
              <w:t>工作正常有序开展，使得公路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治理超限超载效率</w:t>
            </w:r>
            <w:r>
              <w:rPr>
                <w:rFonts w:hint="eastAsia" w:ascii="楷体" w:hAnsi="楷体" w:eastAsia="楷体" w:cs="楷体"/>
                <w:sz w:val="24"/>
              </w:rPr>
              <w:t>不断提高。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ascii="仿宋" w:hAnsi="仿宋" w:eastAsia="仿宋" w:cs="仿宋"/>
                <w:szCs w:val="21"/>
              </w:rPr>
            </w:pPr>
          </w:p>
          <w:p>
            <w:pPr>
              <w:pStyle w:val="2"/>
              <w:ind w:firstLine="640"/>
            </w:pPr>
          </w:p>
          <w:p>
            <w:pPr>
              <w:ind w:firstLine="3360" w:firstLineChars="16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主管部门（盖章）：</w:t>
            </w:r>
          </w:p>
        </w:tc>
      </w:tr>
    </w:tbl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填报人： </w:t>
      </w:r>
      <w:r>
        <w:rPr>
          <w:rFonts w:hint="eastAsia" w:ascii="仿宋" w:hAnsi="仿宋" w:eastAsia="仿宋" w:cs="仿宋"/>
          <w:szCs w:val="21"/>
          <w:lang w:eastAsia="zh-CN"/>
        </w:rPr>
        <w:t>黄海能</w:t>
      </w:r>
      <w:r>
        <w:rPr>
          <w:rFonts w:hint="eastAsia" w:ascii="仿宋" w:hAnsi="仿宋" w:eastAsia="仿宋" w:cs="仿宋"/>
          <w:szCs w:val="21"/>
        </w:rPr>
        <w:t xml:space="preserve">            联系电话：</w:t>
      </w:r>
      <w:r>
        <w:rPr>
          <w:rFonts w:hint="eastAsia" w:ascii="仿宋" w:hAnsi="仿宋" w:eastAsia="仿宋" w:cs="仿宋"/>
          <w:szCs w:val="21"/>
          <w:lang w:val="en-US" w:eastAsia="zh-CN"/>
        </w:rPr>
        <w:t>13789154057</w:t>
      </w:r>
      <w:r>
        <w:rPr>
          <w:rFonts w:hint="eastAsia" w:ascii="仿宋" w:hAnsi="仿宋" w:eastAsia="仿宋" w:cs="仿宋"/>
          <w:szCs w:val="21"/>
        </w:rPr>
        <w:t xml:space="preserve">           时间：2023年5月5 日</w:t>
      </w:r>
    </w:p>
    <w:p>
      <w:pPr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pStyle w:val="2"/>
        <w:rPr>
          <w:rFonts w:hint="eastAsia" w:ascii="仿宋" w:hAnsi="仿宋" w:eastAsia="仿宋" w:cs="仿宋"/>
          <w:kern w:val="0"/>
        </w:rPr>
      </w:pPr>
    </w:p>
    <w:p>
      <w:pPr>
        <w:spacing w:after="0" w:line="56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附件4</w:t>
      </w:r>
    </w:p>
    <w:p>
      <w:pPr>
        <w:spacing w:after="0" w:line="560" w:lineRule="exact"/>
        <w:jc w:val="center"/>
        <w:rPr>
          <w:rFonts w:ascii="方正大标宋简体" w:hAnsi="方正大标宋简体" w:eastAsia="方正大标宋简体" w:cs="方正大标宋简体"/>
          <w:bCs/>
          <w:sz w:val="44"/>
          <w:szCs w:val="44"/>
        </w:rPr>
      </w:pPr>
    </w:p>
    <w:p>
      <w:pPr>
        <w:spacing w:after="0" w:line="560" w:lineRule="exact"/>
        <w:jc w:val="center"/>
        <w:rPr>
          <w:rFonts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部门整体支出绩效自评报告</w:t>
      </w:r>
    </w:p>
    <w:p>
      <w:pPr>
        <w:spacing w:after="0" w:line="560" w:lineRule="exact"/>
        <w:ind w:firstLine="420" w:firstLineChars="200"/>
        <w:rPr>
          <w:rFonts w:ascii="仿宋" w:hAnsi="仿宋" w:eastAsia="仿宋" w:cs="仿宋"/>
        </w:rPr>
      </w:pPr>
    </w:p>
    <w:p>
      <w:pPr>
        <w:spacing w:after="0"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一、部门概况</w:t>
      </w:r>
    </w:p>
    <w:p>
      <w:pPr>
        <w:spacing w:after="0" w:line="560" w:lineRule="exact"/>
        <w:ind w:firstLine="640" w:firstLineChars="20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（一）部门基本情况</w:t>
      </w:r>
    </w:p>
    <w:p>
      <w:pPr>
        <w:pStyle w:val="2"/>
        <w:rPr>
          <w:color w:val="auto"/>
        </w:rPr>
      </w:pPr>
      <w:r>
        <w:rPr>
          <w:rFonts w:hint="eastAsia" w:eastAsia="仿宋_GB2312"/>
          <w:lang w:val="en-US" w:eastAsia="zh-CN"/>
        </w:rPr>
        <w:t>隆回县五里公路超限检测站编制人数为23人，实际人数16人，其中在职13人，退休3人。小车编制数1台，实际1台，房屋面积754.17平方米，本单位共设有3个股室：</w:t>
      </w:r>
      <w:r>
        <w:rPr>
          <w:rFonts w:hint="eastAsia" w:eastAsia="仿宋_GB2312"/>
          <w:color w:val="auto"/>
          <w:lang w:val="en-US" w:eastAsia="zh-CN"/>
        </w:rPr>
        <w:t>综合部、安全应急部、超限检测部。</w:t>
      </w:r>
    </w:p>
    <w:p>
      <w:pPr>
        <w:spacing w:after="0" w:line="560" w:lineRule="exact"/>
        <w:ind w:firstLine="640" w:firstLineChars="20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（二）2022年的重点工作</w:t>
      </w:r>
    </w:p>
    <w:p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宣传、贯彻、执行国家有关车辆超限治理的法律、法规、规章和政策；</w:t>
      </w:r>
    </w:p>
    <w:p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依法对在公路上行使的车辆进行超限检测，认定、查处和纠正违法行为；</w:t>
      </w:r>
    </w:p>
    <w:p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监督当事人对超限运输车辆采取卸载、分装等消除违法状态的改正措施；</w:t>
      </w:r>
    </w:p>
    <w:p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收集、整理、上报有关检测、执法等数据和动态信息；</w:t>
      </w:r>
    </w:p>
    <w:p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管理、维护公路超限检测站的设施、设备和信息系统。</w:t>
      </w:r>
    </w:p>
    <w:p>
      <w:pPr>
        <w:spacing w:after="0" w:line="560" w:lineRule="exact"/>
        <w:ind w:firstLine="640" w:firstLineChars="20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（三）部门整体支出情况</w:t>
      </w:r>
    </w:p>
    <w:p>
      <w:pPr>
        <w:pStyle w:val="2"/>
        <w:spacing w:line="560" w:lineRule="exact"/>
        <w:ind w:firstLine="640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2022年，本单位收入决算数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>7717940.74</w:t>
      </w:r>
      <w:r>
        <w:rPr>
          <w:rFonts w:hint="eastAsia" w:ascii="仿宋_GB2312" w:hAnsi="仿宋_GB2312" w:eastAsia="仿宋_GB2312" w:cs="仿宋_GB2312"/>
          <w:bCs/>
          <w:szCs w:val="32"/>
        </w:rPr>
        <w:t>元，支出决算数</w:t>
      </w:r>
      <w:r>
        <w:rPr>
          <w:rFonts w:hint="eastAsia" w:ascii="仿宋_GB2312" w:hAnsi="仿宋_GB2312" w:eastAsia="仿宋_GB2312" w:cs="仿宋_GB2312"/>
          <w:bCs/>
          <w:color w:val="auto"/>
          <w:szCs w:val="32"/>
          <w:lang w:val="en-US" w:eastAsia="zh-CN"/>
        </w:rPr>
        <w:t>9108618.2</w:t>
      </w:r>
      <w:r>
        <w:rPr>
          <w:rFonts w:hint="eastAsia" w:ascii="仿宋_GB2312" w:hAnsi="仿宋_GB2312" w:eastAsia="仿宋_GB2312" w:cs="仿宋_GB2312"/>
          <w:bCs/>
          <w:szCs w:val="32"/>
        </w:rPr>
        <w:t>元。按支出性质分类其中：基本支出决算</w:t>
      </w:r>
      <w:r>
        <w:rPr>
          <w:rFonts w:hint="eastAsia" w:ascii="仿宋_GB2312" w:hAnsi="仿宋_GB2312" w:eastAsia="仿宋_GB2312" w:cs="仿宋_GB2312"/>
          <w:bCs/>
          <w:color w:val="auto"/>
          <w:szCs w:val="32"/>
          <w:lang w:val="en-US" w:eastAsia="zh-CN"/>
        </w:rPr>
        <w:t>6563061.35</w:t>
      </w:r>
      <w:r>
        <w:rPr>
          <w:rFonts w:hint="eastAsia" w:ascii="仿宋_GB2312" w:hAnsi="仿宋_GB2312" w:eastAsia="仿宋_GB2312" w:cs="仿宋_GB2312"/>
          <w:bCs/>
          <w:szCs w:val="32"/>
        </w:rPr>
        <w:t>元；项目支出决算</w:t>
      </w:r>
      <w:r>
        <w:rPr>
          <w:rFonts w:hint="eastAsia" w:ascii="仿宋_GB2312" w:hAnsi="仿宋_GB2312" w:eastAsia="仿宋_GB2312" w:cs="仿宋_GB2312"/>
          <w:bCs/>
          <w:color w:val="auto"/>
          <w:szCs w:val="32"/>
          <w:lang w:val="en-US" w:eastAsia="zh-CN"/>
        </w:rPr>
        <w:t>2545556.85</w:t>
      </w:r>
      <w:r>
        <w:rPr>
          <w:rFonts w:hint="eastAsia" w:ascii="仿宋_GB2312" w:hAnsi="仿宋_GB2312" w:eastAsia="仿宋_GB2312" w:cs="仿宋_GB2312"/>
          <w:bCs/>
          <w:szCs w:val="32"/>
        </w:rPr>
        <w:t>元。</w:t>
      </w:r>
    </w:p>
    <w:p>
      <w:pPr>
        <w:spacing w:after="0"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二、部门整体支出管理及使用情况</w:t>
      </w:r>
    </w:p>
    <w:p>
      <w:pPr>
        <w:spacing w:after="0" w:line="560" w:lineRule="exact"/>
        <w:ind w:firstLine="640" w:firstLineChars="20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（一）基本支出情况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2022年基本支出共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/>
        </w:rPr>
        <w:t>6310366.86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元，其中人员支出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/>
        </w:rPr>
        <w:t>5289355.24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元，公用支出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/>
        </w:rPr>
        <w:t>1021011.62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元。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该支出是指为保障单位机构正常运转、完成日常工作任务而发生的各项支出，包括用于基本工资、津贴补贴等人员经费以及办公费、印刷费、水电费及办公设备购置等日常公用经费。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after="0" w:line="560" w:lineRule="exact"/>
        <w:ind w:firstLine="640" w:firstLineChars="200"/>
        <w:rPr>
          <w:rFonts w:ascii="楷体" w:hAnsi="楷体" w:eastAsia="楷体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（</w:t>
      </w:r>
      <w:r>
        <w:rPr>
          <w:rFonts w:hint="eastAsia" w:ascii="楷体" w:hAnsi="楷体" w:eastAsia="楷体" w:cs="仿宋"/>
          <w:sz w:val="32"/>
          <w:szCs w:val="32"/>
        </w:rPr>
        <w:t>二）项目支出情况</w:t>
      </w:r>
    </w:p>
    <w:p>
      <w:pPr>
        <w:pStyle w:val="2"/>
        <w:spacing w:line="560" w:lineRule="exact"/>
        <w:ind w:firstLine="160" w:firstLineChars="50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2022年项目支出共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>2545556.85</w:t>
      </w:r>
      <w:r>
        <w:rPr>
          <w:rFonts w:hint="eastAsia" w:ascii="仿宋_GB2312" w:hAnsi="仿宋_GB2312" w:eastAsia="仿宋_GB2312" w:cs="仿宋_GB2312"/>
          <w:bCs/>
          <w:szCs w:val="32"/>
        </w:rPr>
        <w:t>元，用于</w:t>
      </w:r>
      <w:r>
        <w:rPr>
          <w:rFonts w:hint="eastAsia" w:ascii="仿宋_GB2312" w:hAnsi="仿宋_GB2312" w:eastAsia="仿宋_GB2312" w:cs="仿宋_GB2312"/>
          <w:bCs/>
          <w:szCs w:val="32"/>
          <w:lang w:eastAsia="zh-CN"/>
        </w:rPr>
        <w:t>不停车检测系统</w:t>
      </w:r>
      <w:r>
        <w:rPr>
          <w:rFonts w:hint="eastAsia" w:ascii="仿宋_GB2312" w:hAnsi="仿宋_GB2312" w:eastAsia="仿宋_GB2312" w:cs="仿宋_GB2312"/>
          <w:bCs/>
          <w:szCs w:val="32"/>
        </w:rPr>
        <w:t>建设支出。是单位为完成特定行政工作或事业发展目标而发生的支出，包括有关事业发展专项、专项业务费、基本建设支出等。因2022年项目支出由县统一安排，所以未纳入部门预算。</w:t>
      </w:r>
    </w:p>
    <w:p>
      <w:pPr>
        <w:spacing w:after="0" w:line="560" w:lineRule="exact"/>
        <w:ind w:firstLine="640" w:firstLineChars="20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（三）“三公”经费情况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1.因公出国（境）费用0元；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2.公务接待费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2810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元；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3.公务用车购置及运行费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1338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14.21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其中公务用车运行费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133814.21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元。</w:t>
      </w:r>
    </w:p>
    <w:p>
      <w:pPr>
        <w:spacing w:after="0"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财务管理制度建设情况：资金拨付严格按程序申报、审批，合理合规使用资金，确保财政资金安全。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资产管理：及时按照要求报送资产情况报表，确保各项资产核算准确、账实相符、管理到位。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预决算公开：及时在县人民政府门户网站上进行了预决算公开。</w:t>
      </w:r>
    </w:p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认真履行职责，及时报送财政各类报表及有关资料。</w:t>
      </w:r>
    </w:p>
    <w:p>
      <w:pPr>
        <w:spacing w:after="0"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四、存在的问题</w:t>
      </w:r>
    </w:p>
    <w:p>
      <w:pPr>
        <w:spacing w:after="0" w:line="560" w:lineRule="exact"/>
        <w:ind w:firstLine="480" w:firstLineChars="1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（一）人员支出预算中，预算与支出比较，缺口很大，在必须支出的奖金这一块完全没有预算，需单位自行解决，但单位也没有其他来源，现只能用往年结余弥补亏损。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（二）项目预算的准确性不高，没有完全按预算批复表中的项目资金安排经费到单位，年初做的预算在年中实施时实际拨付款与预算有很大出入。</w:t>
      </w:r>
    </w:p>
    <w:p>
      <w:pPr>
        <w:spacing w:after="0"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五、改进措施和有关建议</w:t>
      </w:r>
    </w:p>
    <w:p>
      <w:pPr>
        <w:pStyle w:val="7"/>
        <w:widowControl/>
        <w:spacing w:before="0" w:beforeAutospacing="0" w:after="0" w:afterAutospacing="0" w:line="560" w:lineRule="exact"/>
        <w:ind w:firstLine="579" w:firstLineChars="181"/>
        <w:jc w:val="both"/>
        <w:rPr>
          <w:rFonts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楷体" w:hAnsi="楷体" w:eastAsia="楷体" w:cs="楷体"/>
          <w:bCs/>
          <w:kern w:val="2"/>
          <w:sz w:val="32"/>
          <w:szCs w:val="32"/>
        </w:rPr>
        <w:t>（一）细化预算编制工作，认真做好预算编制。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进一步加强单位内设机构的预算管理意识，严格按照预算编制的相关制度和要求进行预算编制，尽量压缩变动性的、有控制空间的费用项目，进一步提高预算编制的科学性、严谨性和可控性。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7"/>
        <w:widowControl/>
        <w:spacing w:before="0" w:beforeAutospacing="0" w:after="0" w:afterAutospacing="0" w:line="560" w:lineRule="exact"/>
        <w:ind w:firstLine="579" w:firstLineChars="181"/>
        <w:jc w:val="both"/>
        <w:rPr>
          <w:rFonts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楷体" w:hAnsi="楷体" w:eastAsia="楷体" w:cs="楷体"/>
          <w:bCs/>
          <w:kern w:val="2"/>
          <w:sz w:val="32"/>
          <w:szCs w:val="32"/>
        </w:rPr>
        <w:t>（二）加强财务管理，严格财务审核。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加强单位财务管理，在费用报账支付时，按照预算规定的费用项目和用途进行资金使用审核、列报支付、财务核算，杜绝超支现象发生。</w:t>
      </w:r>
    </w:p>
    <w:p>
      <w:pPr>
        <w:pStyle w:val="7"/>
        <w:widowControl/>
        <w:spacing w:before="0" w:beforeAutospacing="0" w:after="0" w:afterAutospacing="0" w:line="560" w:lineRule="exact"/>
        <w:ind w:firstLine="579" w:firstLineChars="181"/>
        <w:jc w:val="both"/>
        <w:rPr>
          <w:rFonts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楷体" w:hAnsi="楷体" w:eastAsia="楷体" w:cs="楷体"/>
          <w:bCs/>
          <w:kern w:val="2"/>
          <w:sz w:val="32"/>
          <w:szCs w:val="32"/>
        </w:rPr>
        <w:t>（三）完善资产管理，抓好“三公”经费控制。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严把“三公”经费支出的审核、审批，杜绝挪用和挤占其他预算资金的行为，合理压缩“三公”经费支出。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建议：一是将不停车检测系统日常维护支出纳入单位部门预算，不作专项经费单独下达；二是根据不停车检测系统日常维护实际资金需要，适当提高不停车检测系统日常维护护资金预算标准；确保不停车检测系统管养工作正常有序开展，使得公路治理超限超载效率不断提高。</w:t>
      </w:r>
    </w:p>
    <w:p>
      <w:pPr>
        <w:spacing w:after="0" w:line="560" w:lineRule="exact"/>
        <w:jc w:val="righ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隆回县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五里公路超限检测站</w:t>
      </w:r>
    </w:p>
    <w:p>
      <w:pPr>
        <w:pStyle w:val="2"/>
        <w:spacing w:line="560" w:lineRule="exact"/>
        <w:ind w:firstLine="5696" w:firstLineChars="1780"/>
        <w:rPr>
          <w:rFonts w:hint="eastAsia" w:ascii="仿宋" w:hAnsi="仿宋" w:eastAsia="仿宋" w:cs="仿宋"/>
          <w:kern w:val="0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2023年5月5日</w:t>
      </w:r>
    </w:p>
    <w:sectPr>
      <w:headerReference r:id="rId3" w:type="default"/>
      <w:footerReference r:id="rId4" w:type="default"/>
      <w:footerReference r:id="rId5" w:type="even"/>
      <w:pgSz w:w="11905" w:h="16837"/>
      <w:pgMar w:top="1701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right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- 3 -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166F6B"/>
    <w:multiLevelType w:val="singleLevel"/>
    <w:tmpl w:val="6D166F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RhMDcyN2UwNTA5YWY4ZDRiNTIyNDBlOTBiNWMyNGQifQ=="/>
  </w:docVars>
  <w:rsids>
    <w:rsidRoot w:val="18D538B0"/>
    <w:rsid w:val="00091895"/>
    <w:rsid w:val="00114471"/>
    <w:rsid w:val="001E7114"/>
    <w:rsid w:val="00264E65"/>
    <w:rsid w:val="002A2FF7"/>
    <w:rsid w:val="002E4E25"/>
    <w:rsid w:val="002F15C5"/>
    <w:rsid w:val="003F6598"/>
    <w:rsid w:val="0040215A"/>
    <w:rsid w:val="00652BCA"/>
    <w:rsid w:val="006E6A03"/>
    <w:rsid w:val="008862F3"/>
    <w:rsid w:val="00A42A2D"/>
    <w:rsid w:val="00A66DB3"/>
    <w:rsid w:val="00AA7AB0"/>
    <w:rsid w:val="00BF6994"/>
    <w:rsid w:val="00C570B9"/>
    <w:rsid w:val="00E34E05"/>
    <w:rsid w:val="00E6055B"/>
    <w:rsid w:val="00E80EE7"/>
    <w:rsid w:val="01600BAC"/>
    <w:rsid w:val="018E17F6"/>
    <w:rsid w:val="01E50D53"/>
    <w:rsid w:val="01EB6738"/>
    <w:rsid w:val="02AE55E9"/>
    <w:rsid w:val="03B40C48"/>
    <w:rsid w:val="03D2624F"/>
    <w:rsid w:val="040501C3"/>
    <w:rsid w:val="05323055"/>
    <w:rsid w:val="05E337FC"/>
    <w:rsid w:val="06536294"/>
    <w:rsid w:val="07155C37"/>
    <w:rsid w:val="08EB6C4F"/>
    <w:rsid w:val="09D347BB"/>
    <w:rsid w:val="0A6273E5"/>
    <w:rsid w:val="0A686BF6"/>
    <w:rsid w:val="0C760F26"/>
    <w:rsid w:val="0DD74424"/>
    <w:rsid w:val="0F1862C4"/>
    <w:rsid w:val="107F4121"/>
    <w:rsid w:val="10BE4C49"/>
    <w:rsid w:val="10C57C4D"/>
    <w:rsid w:val="11456604"/>
    <w:rsid w:val="117C2E73"/>
    <w:rsid w:val="11E9622E"/>
    <w:rsid w:val="11F71F3A"/>
    <w:rsid w:val="12607728"/>
    <w:rsid w:val="126104A5"/>
    <w:rsid w:val="12D93FBD"/>
    <w:rsid w:val="13113C31"/>
    <w:rsid w:val="13C57FC2"/>
    <w:rsid w:val="13DD7ADC"/>
    <w:rsid w:val="13EB2DF0"/>
    <w:rsid w:val="144F5156"/>
    <w:rsid w:val="1767588B"/>
    <w:rsid w:val="18D538B0"/>
    <w:rsid w:val="18E032C2"/>
    <w:rsid w:val="19A277FE"/>
    <w:rsid w:val="1C1B73F4"/>
    <w:rsid w:val="1CCF110C"/>
    <w:rsid w:val="1D9456B0"/>
    <w:rsid w:val="1E59580B"/>
    <w:rsid w:val="1FA31533"/>
    <w:rsid w:val="213827F6"/>
    <w:rsid w:val="21796BC2"/>
    <w:rsid w:val="21B552CB"/>
    <w:rsid w:val="22BE0E76"/>
    <w:rsid w:val="23250B58"/>
    <w:rsid w:val="2483632E"/>
    <w:rsid w:val="24CC572F"/>
    <w:rsid w:val="25550C1E"/>
    <w:rsid w:val="25B05D49"/>
    <w:rsid w:val="279F0BA4"/>
    <w:rsid w:val="28BF4190"/>
    <w:rsid w:val="2A0B4B81"/>
    <w:rsid w:val="2A706BB3"/>
    <w:rsid w:val="2A7C719C"/>
    <w:rsid w:val="2B926A7E"/>
    <w:rsid w:val="2C2B5641"/>
    <w:rsid w:val="2CB6067E"/>
    <w:rsid w:val="2CC66F08"/>
    <w:rsid w:val="2CCA094F"/>
    <w:rsid w:val="2E2B5E45"/>
    <w:rsid w:val="2E515D05"/>
    <w:rsid w:val="2F387BFB"/>
    <w:rsid w:val="2FC02FA6"/>
    <w:rsid w:val="2FF745A3"/>
    <w:rsid w:val="316450AF"/>
    <w:rsid w:val="33274478"/>
    <w:rsid w:val="335115F0"/>
    <w:rsid w:val="34623955"/>
    <w:rsid w:val="3546366F"/>
    <w:rsid w:val="357070B5"/>
    <w:rsid w:val="36EE7787"/>
    <w:rsid w:val="376A3C4C"/>
    <w:rsid w:val="38FC7F68"/>
    <w:rsid w:val="39C175C6"/>
    <w:rsid w:val="3A754CC9"/>
    <w:rsid w:val="3AEA295B"/>
    <w:rsid w:val="3BEA370A"/>
    <w:rsid w:val="3DCE3E6E"/>
    <w:rsid w:val="3E3A69A0"/>
    <w:rsid w:val="3ECD3124"/>
    <w:rsid w:val="3F192EF0"/>
    <w:rsid w:val="3F1B30E3"/>
    <w:rsid w:val="3F9A003D"/>
    <w:rsid w:val="3FEA0343"/>
    <w:rsid w:val="428D254A"/>
    <w:rsid w:val="475F022D"/>
    <w:rsid w:val="475F4422"/>
    <w:rsid w:val="4874505C"/>
    <w:rsid w:val="49136AFE"/>
    <w:rsid w:val="49142F9E"/>
    <w:rsid w:val="49201968"/>
    <w:rsid w:val="49F977A4"/>
    <w:rsid w:val="4A7F4E6E"/>
    <w:rsid w:val="4B475260"/>
    <w:rsid w:val="4B6814D6"/>
    <w:rsid w:val="4B871B00"/>
    <w:rsid w:val="4BB905DA"/>
    <w:rsid w:val="4E0B709E"/>
    <w:rsid w:val="4F6E54B1"/>
    <w:rsid w:val="5039786D"/>
    <w:rsid w:val="507C62DD"/>
    <w:rsid w:val="50B20CEB"/>
    <w:rsid w:val="50DE21C3"/>
    <w:rsid w:val="51136310"/>
    <w:rsid w:val="51B35730"/>
    <w:rsid w:val="537A08DB"/>
    <w:rsid w:val="55FE57CA"/>
    <w:rsid w:val="563C6D66"/>
    <w:rsid w:val="565C4B5A"/>
    <w:rsid w:val="572D004A"/>
    <w:rsid w:val="578E37A1"/>
    <w:rsid w:val="58C76ABA"/>
    <w:rsid w:val="59642FE9"/>
    <w:rsid w:val="59CA59DA"/>
    <w:rsid w:val="5B3D1697"/>
    <w:rsid w:val="5D6C7344"/>
    <w:rsid w:val="5EA551F5"/>
    <w:rsid w:val="61AF2FE3"/>
    <w:rsid w:val="63521D29"/>
    <w:rsid w:val="635B32B1"/>
    <w:rsid w:val="63AD5DD7"/>
    <w:rsid w:val="63C90AB0"/>
    <w:rsid w:val="641E68E9"/>
    <w:rsid w:val="65B75B1D"/>
    <w:rsid w:val="65ED7F30"/>
    <w:rsid w:val="670B01C0"/>
    <w:rsid w:val="67B53825"/>
    <w:rsid w:val="68045877"/>
    <w:rsid w:val="69C77840"/>
    <w:rsid w:val="69D16911"/>
    <w:rsid w:val="6A522671"/>
    <w:rsid w:val="6ACB22C2"/>
    <w:rsid w:val="6BCF0C2E"/>
    <w:rsid w:val="6C3C39CA"/>
    <w:rsid w:val="6C6A0E2B"/>
    <w:rsid w:val="6C801864"/>
    <w:rsid w:val="6E615BFD"/>
    <w:rsid w:val="6E903D6A"/>
    <w:rsid w:val="6FE0340A"/>
    <w:rsid w:val="710475CC"/>
    <w:rsid w:val="72190D53"/>
    <w:rsid w:val="745037BC"/>
    <w:rsid w:val="74B41BB7"/>
    <w:rsid w:val="74F6722B"/>
    <w:rsid w:val="751002ED"/>
    <w:rsid w:val="767C2482"/>
    <w:rsid w:val="76F459ED"/>
    <w:rsid w:val="78270946"/>
    <w:rsid w:val="78853E63"/>
    <w:rsid w:val="79367029"/>
    <w:rsid w:val="7A031D57"/>
    <w:rsid w:val="7A3613CA"/>
    <w:rsid w:val="7B3D3D71"/>
    <w:rsid w:val="7C3F770A"/>
    <w:rsid w:val="7D2A54B9"/>
    <w:rsid w:val="7D887789"/>
    <w:rsid w:val="7FA61257"/>
    <w:rsid w:val="7F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宋体"/>
      <w:sz w:val="24"/>
      <w:szCs w:val="24"/>
    </w:r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2145</Words>
  <Characters>2309</Characters>
  <Lines>18</Lines>
  <Paragraphs>5</Paragraphs>
  <TotalTime>18</TotalTime>
  <ScaleCrop>false</ScaleCrop>
  <LinksUpToDate>false</LinksUpToDate>
  <CharactersWithSpaces>2479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 Sunshine</cp:lastModifiedBy>
  <cp:lastPrinted>2023-04-27T03:52:00Z</cp:lastPrinted>
  <dcterms:modified xsi:type="dcterms:W3CDTF">2023-09-08T03:13:48Z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AB810C59E2894EE691622EC438F15754_13</vt:lpwstr>
  </property>
</Properties>
</file>