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886"/>
        <w:gridCol w:w="600"/>
        <w:gridCol w:w="465"/>
        <w:gridCol w:w="81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2</w:t>
            </w:r>
            <w:r>
              <w:rPr>
                <w:rFonts w:ascii="黑体" w:hAnsi="黑体" w:eastAsia="黑体" w:cs="黑体"/>
                <w:sz w:val="24"/>
              </w:rPr>
              <w:t>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隆回县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滩头</w:t>
            </w:r>
            <w:r>
              <w:rPr>
                <w:rFonts w:hint="eastAsia" w:ascii="楷体" w:hAnsi="楷体" w:eastAsia="楷体" w:cs="楷体"/>
                <w:sz w:val="32"/>
                <w:szCs w:val="32"/>
              </w:rPr>
              <w:t>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383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vAlign w:val="center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</w:tcPr>
          <w:p>
            <w:pPr>
              <w:spacing w:line="34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1、为教育教学提供管理保障。2、教育教学管理。3、提供中小学义务教育和学前教育。4、中小学学历教育。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6297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600" w:type="dxa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37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812" w:type="dxa"/>
            <w:vMerge w:val="restart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1878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600" w:type="dxa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115</w:t>
            </w: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1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6189</w:t>
            </w:r>
          </w:p>
        </w:tc>
        <w:tc>
          <w:tcPr>
            <w:tcW w:w="18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406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812" w:type="dxa"/>
            <w:vMerge w:val="restart"/>
            <w:vAlign w:val="top"/>
          </w:tcPr>
          <w:p>
            <w:pPr>
              <w:spacing w:line="5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6595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</w:p>
        </w:tc>
        <w:tc>
          <w:tcPr>
            <w:tcW w:w="1878" w:type="dxa"/>
            <w:gridSpan w:val="2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00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  <w:jc w:val="center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 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25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997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  <w:jc w:val="center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8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在各级部门领导下，承担中小学教育、学前教育教学工作及教育行政管理事务,为中小学、幼儿园提供教育管理保障；2、按时完成教育教学任务；3、义务教育稳步、健康运行；4、学校办学条件逐步改善，办学行为逐步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697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34" w:hRule="atLeast"/>
          <w:jc w:val="center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vAlign w:val="center"/>
          </w:tcPr>
          <w:p>
            <w:pPr>
              <w:spacing w:line="600" w:lineRule="exact"/>
              <w:ind w:firstLine="420" w:firstLineChars="2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工会经费预算严重不足；残疾人就业保障金财政年初未预算，均为学校公用经费承担，代课教师、安保人员等临聘人员工资经费财政只部分预算，学校承担比例过高。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974" w:hRule="atLeast"/>
          <w:jc w:val="center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孙冰洁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 xml:space="preserve">15869897176  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21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ascii="黑体" w:hAnsi="宋体" w:eastAsia="黑体" w:cs="宋体"/>
          <w:kern w:val="0"/>
          <w:sz w:val="32"/>
          <w:szCs w:val="32"/>
        </w:rPr>
        <w:br w:type="page"/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隆回县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  <w:lang w:val="en-US" w:eastAsia="zh-CN"/>
        </w:rPr>
        <w:t>滩头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镇中心学校</w:t>
      </w:r>
    </w:p>
    <w:p>
      <w:pPr>
        <w:spacing w:line="220" w:lineRule="atLeast"/>
        <w:jc w:val="center"/>
        <w:rPr>
          <w:rFonts w:ascii="仿宋_GB2312" w:hAnsi="宋体" w:eastAsia="仿宋_GB2312" w:cs="仿宋_GB2312"/>
          <w:b/>
          <w:bCs/>
          <w:sz w:val="44"/>
          <w:szCs w:val="44"/>
        </w:rPr>
      </w:pP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20</w:t>
      </w:r>
      <w:r>
        <w:rPr>
          <w:rFonts w:ascii="仿宋_GB2312" w:hAnsi="宋体" w:eastAsia="仿宋_GB2312" w:cs="仿宋_GB2312"/>
          <w:b/>
          <w:bCs/>
          <w:sz w:val="44"/>
          <w:szCs w:val="44"/>
        </w:rPr>
        <w:t>21</w:t>
      </w:r>
      <w:r>
        <w:rPr>
          <w:rFonts w:hint="eastAsia" w:ascii="仿宋_GB2312" w:hAnsi="宋体" w:eastAsia="仿宋_GB2312" w:cs="仿宋_GB2312"/>
          <w:b/>
          <w:bCs/>
          <w:sz w:val="44"/>
          <w:szCs w:val="44"/>
        </w:rPr>
        <w:t>年度部门整体绩效自评报告</w:t>
      </w:r>
    </w:p>
    <w:p>
      <w:pPr>
        <w:spacing w:line="600" w:lineRule="exact"/>
        <w:ind w:firstLine="560" w:firstLineChars="200"/>
        <w:rPr>
          <w:rFonts w:ascii="仿宋_GB2312" w:hAnsi="宋体" w:eastAsia="仿宋_GB2312" w:cs="仿宋_GB2312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仿宋_GB2312" w:hAnsi="宋体" w:eastAsia="仿宋_GB2312" w:cs="仿宋_GB2312"/>
          <w:sz w:val="28"/>
          <w:szCs w:val="28"/>
        </w:rPr>
        <w:t>根</w:t>
      </w:r>
      <w:r>
        <w:rPr>
          <w:rFonts w:hint="eastAsia" w:ascii="楷体_GB2312" w:hAnsi="仿宋_GB2312" w:eastAsia="楷体_GB2312" w:cs="仿宋_GB2312"/>
          <w:sz w:val="30"/>
          <w:szCs w:val="30"/>
        </w:rPr>
        <w:t>据县财政局《关于开展202</w:t>
      </w:r>
      <w:r>
        <w:rPr>
          <w:rFonts w:ascii="楷体_GB2312" w:hAnsi="仿宋_GB2312" w:eastAsia="楷体_GB2312" w:cs="仿宋_GB2312"/>
          <w:sz w:val="30"/>
          <w:szCs w:val="30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年部门整体支出和县级财政资金支出绩效评价工作的通知》（隆财绩〔202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〕</w:t>
      </w:r>
      <w:r>
        <w:rPr>
          <w:rFonts w:ascii="楷体_GB2312" w:hAnsi="仿宋_GB2312" w:eastAsia="楷体_GB2312" w:cs="仿宋_GB2312"/>
          <w:sz w:val="30"/>
          <w:szCs w:val="30"/>
        </w:rPr>
        <w:t>2</w:t>
      </w:r>
      <w:r>
        <w:rPr>
          <w:rFonts w:hint="eastAsia" w:ascii="楷体_GB2312" w:hAnsi="仿宋_GB2312" w:eastAsia="楷体_GB2312" w:cs="仿宋_GB2312"/>
          <w:sz w:val="30"/>
          <w:szCs w:val="30"/>
        </w:rPr>
        <w:t>号）文件精神。结合中心学校实际，通过认真总结和反思，现将我单位的整体绩效自评阐述好下：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一、部门概况 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（一）单位基本情况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镇中心学校单位编制人数为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383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人，年末实际人数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402</w:t>
      </w:r>
      <w:r>
        <w:rPr>
          <w:rFonts w:hint="eastAsia" w:ascii="楷体_GB2312" w:hAnsi="仿宋_GB2312" w:eastAsia="楷体_GB2312" w:cs="仿宋_GB2312"/>
          <w:sz w:val="30"/>
          <w:szCs w:val="30"/>
        </w:rPr>
        <w:t>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（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其中在编教师383人，特岗教师19人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）；</w:t>
      </w:r>
      <w:r>
        <w:rPr>
          <w:rFonts w:hint="eastAsia" w:ascii="楷体_GB2312" w:hAnsi="仿宋_GB2312" w:eastAsia="楷体_GB2312" w:cs="仿宋_GB2312"/>
          <w:sz w:val="30"/>
          <w:szCs w:val="30"/>
        </w:rPr>
        <w:t>年末中小学学生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6960</w:t>
      </w:r>
      <w:r>
        <w:rPr>
          <w:rFonts w:hint="eastAsia" w:ascii="楷体_GB2312" w:hAnsi="仿宋_GB2312" w:eastAsia="楷体_GB2312" w:cs="仿宋_GB2312"/>
          <w:sz w:val="30"/>
          <w:szCs w:val="30"/>
        </w:rPr>
        <w:t>人，比上年减少了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405</w:t>
      </w:r>
      <w:r>
        <w:rPr>
          <w:rFonts w:hint="eastAsia" w:ascii="楷体_GB2312" w:hAnsi="仿宋_GB2312" w:eastAsia="楷体_GB2312" w:cs="仿宋_GB2312"/>
          <w:sz w:val="30"/>
          <w:szCs w:val="30"/>
        </w:rPr>
        <w:t>人；年末实有遗属补助人数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71</w:t>
      </w:r>
      <w:r>
        <w:rPr>
          <w:rFonts w:hint="eastAsia" w:ascii="楷体_GB2312" w:hAnsi="仿宋_GB2312" w:eastAsia="楷体_GB2312" w:cs="仿宋_GB2312"/>
          <w:sz w:val="30"/>
          <w:szCs w:val="30"/>
        </w:rPr>
        <w:t>人。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部门职能职责：为教育教学提供管理保障。教育教学管理。提供中小学义务教育和学前教育。中小学学历教育。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机构设置：20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年部门预算编制包括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镇中心学校1个独立核算单位和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镇中学、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三面</w:t>
      </w:r>
      <w:r>
        <w:rPr>
          <w:rFonts w:hint="eastAsia" w:ascii="楷体_GB2312" w:hAnsi="仿宋_GB2312" w:eastAsia="楷体_GB2312" w:cs="仿宋_GB2312"/>
          <w:sz w:val="30"/>
          <w:szCs w:val="30"/>
        </w:rPr>
        <w:t>九年一贯制学校、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镇中心小学、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三溪完小、苏塘完小、栗山完小、塘市完小、双江完小8</w:t>
      </w:r>
      <w:r>
        <w:rPr>
          <w:rFonts w:hint="eastAsia" w:ascii="楷体_GB2312" w:hAnsi="仿宋_GB2312" w:eastAsia="楷体_GB2312" w:cs="仿宋_GB2312"/>
          <w:sz w:val="30"/>
          <w:szCs w:val="30"/>
        </w:rPr>
        <w:t>个独立编制机构单位。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（二）2</w:t>
      </w:r>
      <w:r>
        <w:rPr>
          <w:rFonts w:ascii="楷体_GB2312" w:hAnsi="仿宋_GB2312" w:eastAsia="楷体_GB2312" w:cs="仿宋_GB2312"/>
          <w:sz w:val="30"/>
          <w:szCs w:val="30"/>
        </w:rPr>
        <w:t>021</w:t>
      </w:r>
      <w:r>
        <w:rPr>
          <w:rFonts w:hint="eastAsia" w:ascii="楷体_GB2312" w:hAnsi="仿宋_GB2312" w:eastAsia="楷体_GB2312" w:cs="仿宋_GB2312"/>
          <w:sz w:val="30"/>
          <w:szCs w:val="30"/>
        </w:rPr>
        <w:t>年的重点工作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做好疫情防控、防溺水安全、交通安全、食品安全等综治安全工作；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完成年度教育教学工作任务；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改善学校办学条件，提高师生学生生活环境；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4.义务教育均衡发展，教师稳定，质量提高。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（三）部门整体支出情况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收入情况：财政拨款收入全年共拨入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6449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万元，其中：一般公共预算共拨入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6449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万元，政府性基金预算全年共拨入0万元。</w:t>
      </w:r>
    </w:p>
    <w:p>
      <w:pPr>
        <w:spacing w:line="600" w:lineRule="atLeast"/>
        <w:ind w:firstLine="600" w:firstLineChars="200"/>
        <w:rPr>
          <w:rFonts w:ascii="楷体_GB2312" w:hAnsi="仿宋_GB2312" w:eastAsia="楷体_GB2312" w:cs="仿宋_GB2312"/>
          <w:color w:val="auto"/>
          <w:sz w:val="30"/>
          <w:szCs w:val="30"/>
        </w:rPr>
      </w:pP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2</w:t>
      </w:r>
      <w:r>
        <w:rPr>
          <w:rFonts w:ascii="楷体_GB2312" w:hAnsi="仿宋_GB2312" w:eastAsia="楷体_GB2312" w:cs="仿宋_GB2312"/>
          <w:color w:val="auto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支出预算：本年度支出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6595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万元，年末基本支出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6189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万元，基本支出中：本年度工资福利支出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4481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万元，其中基本工资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1596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万元，津贴补贴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542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万元，绩效工资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1034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万元，机关养老保险缴费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483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万元，职工基本医疗保险缴费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330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万元，其他社会保障缴费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34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万元，住房公积金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330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万元，其他工资福利支出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132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万元（特岗教师经费、教师医疗补助）；商品和服务支出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933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万元，对个人和家庭的补助支出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735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万元（含学生营养餐、助学金等）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资本性支出40万元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。增加原因主要是本年度加快支付进度和上年结转资金在本年度使用。项目支出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  <w:lang w:val="en-US" w:eastAsia="zh-CN"/>
        </w:rPr>
        <w:t>406</w:t>
      </w:r>
      <w:r>
        <w:rPr>
          <w:rFonts w:hint="eastAsia" w:ascii="楷体_GB2312" w:hAnsi="仿宋_GB2312" w:eastAsia="楷体_GB2312" w:cs="仿宋_GB2312"/>
          <w:color w:val="auto"/>
          <w:sz w:val="30"/>
          <w:szCs w:val="30"/>
        </w:rPr>
        <w:t>万元，为中小学校改善办学条件的教学楼、综合楼支出。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二、部门整体支出管理及使用情况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（一）基本支出情况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年度我单位的基本支出数为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6595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万元，这是为保障单位机构正常运转、完成日常工作任务而发生的各项支出，包括用于基本工资、津贴补贴等人员经费以及办公费、印刷费、水电费及办公设备购置等日常公用经费。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（二）项目支出情况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我单位在20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年度，项目支出为</w:t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>406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万元，为中小学校改善办学条件的教学楼、综合楼支出。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（三）“三公经费情况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因公出国（境）费用：2</w:t>
      </w:r>
      <w:r>
        <w:rPr>
          <w:rFonts w:ascii="楷体_GB2312" w:hAnsi="仿宋_GB2312" w:eastAsia="楷体_GB2312" w:cs="仿宋_GB2312"/>
          <w:sz w:val="30"/>
          <w:szCs w:val="30"/>
        </w:rPr>
        <w:t>021</w:t>
      </w:r>
      <w:r>
        <w:rPr>
          <w:rFonts w:hint="eastAsia" w:ascii="楷体_GB2312" w:hAnsi="仿宋_GB2312" w:eastAsia="楷体_GB2312" w:cs="仿宋_GB2312"/>
          <w:sz w:val="30"/>
          <w:szCs w:val="30"/>
        </w:rPr>
        <w:t>年度本单位无因公出国（境）费用；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2.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公务接待费： 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年本单位公务接待费支出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万元；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</w:t>
      </w:r>
      <w:r>
        <w:rPr>
          <w:rFonts w:ascii="楷体_GB2312" w:hAnsi="仿宋_GB2312" w:eastAsia="楷体_GB2312" w:cs="仿宋_GB2312"/>
          <w:sz w:val="30"/>
          <w:szCs w:val="30"/>
        </w:rPr>
        <w:t>.</w:t>
      </w:r>
      <w:r>
        <w:rPr>
          <w:rFonts w:hint="eastAsia" w:ascii="楷体_GB2312" w:hAnsi="仿宋_GB2312" w:eastAsia="楷体_GB2312" w:cs="仿宋_GB2312"/>
          <w:sz w:val="30"/>
          <w:szCs w:val="30"/>
        </w:rPr>
        <w:t>公务用车购置及运行费：20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年本单位公务用车购置及运行费支出</w:t>
      </w:r>
      <w:r>
        <w:rPr>
          <w:rFonts w:ascii="楷体_GB2312" w:hAnsi="仿宋_GB2312" w:eastAsia="楷体_GB2312" w:cs="仿宋_GB2312"/>
          <w:sz w:val="30"/>
          <w:szCs w:val="30"/>
        </w:rPr>
        <w:t>0</w:t>
      </w:r>
      <w:r>
        <w:rPr>
          <w:rFonts w:hint="eastAsia" w:ascii="楷体_GB2312" w:hAnsi="仿宋_GB2312" w:eastAsia="楷体_GB2312" w:cs="仿宋_GB2312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三、部门整体支出绩效情况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政府会计制度执行情况：资金拨付严格按程序申报、审批，合理合规使用资金，确保财政资金安全。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资产管理：及时按照要求报送资产情况报表，确保各项资产核算准确、帐实相符、管理到位。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预决算公开：及时在县人民政府门户网站上进行了预决算公开。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认真履行职责，及时报送财政资金信息、财务报表等有关资料。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四、存在的问题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1.预算编制工作有待提高。预算编制跟不上学校实际支出，预算编制的合理性需要提高，预算执行力度还要进一步加强。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2.公用经费的支出数大于预算数。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3.工会经费预算严重不足。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4</w:t>
      </w:r>
      <w:r>
        <w:rPr>
          <w:rFonts w:hint="eastAsia" w:ascii="楷体_GB2312" w:hAnsi="仿宋_GB2312" w:eastAsia="楷体_GB2312" w:cs="仿宋_GB2312"/>
          <w:sz w:val="30"/>
          <w:szCs w:val="30"/>
        </w:rPr>
        <w:t>.残疾人就业保障金财政年初未预算，均为学校公用经费承担。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ascii="楷体_GB2312" w:hAnsi="仿宋_GB2312" w:eastAsia="楷体_GB2312" w:cs="仿宋_GB2312"/>
          <w:sz w:val="30"/>
          <w:szCs w:val="30"/>
        </w:rPr>
        <w:t>5</w:t>
      </w:r>
      <w:r>
        <w:rPr>
          <w:rFonts w:hint="eastAsia" w:ascii="楷体_GB2312" w:hAnsi="仿宋_GB2312" w:eastAsia="楷体_GB2312" w:cs="仿宋_GB2312"/>
          <w:sz w:val="30"/>
          <w:szCs w:val="30"/>
        </w:rPr>
        <w:t>.代课教师、保安等临聘人员工资经费财政只部分预算，学校承担比例过高。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五、改进措施和有关建议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1.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2.加强财务管理，严格财务审核。加强单位财务管理，在费用报账支付时，按照预算规定的费用项目和用途进行资金使用审核、列报支付、财务核算，杜绝超支现象的发生。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3.完善资产管理，抓好“三公”经费控制。把关“三公”经费支出的审核、审批，杜绝挪用和挤占其他预算资金行为；合理压缩“三公”经费支出。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>4.希望政府部门能落实解决单位的工会经费缺口、残保金全额纳入年初预算、临聘人员全额纳入预算等资金。</w:t>
      </w:r>
    </w:p>
    <w:p>
      <w:pPr>
        <w:spacing w:line="600" w:lineRule="exact"/>
        <w:ind w:firstLine="600" w:firstLineChars="200"/>
        <w:rPr>
          <w:rFonts w:ascii="楷体_GB2312" w:hAnsi="仿宋_GB2312" w:eastAsia="楷体_GB2312" w:cs="仿宋_GB2312"/>
          <w:sz w:val="30"/>
          <w:szCs w:val="30"/>
        </w:rPr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hint="eastAsia" w:ascii="楷体_GB2312" w:hAnsi="仿宋_GB2312" w:eastAsia="楷体_GB2312" w:cs="仿宋_GB2312"/>
          <w:sz w:val="30"/>
          <w:szCs w:val="30"/>
          <w:lang w:val="en-US" w:eastAsia="zh-CN"/>
        </w:rPr>
        <w:t xml:space="preserve">    </w:t>
      </w:r>
      <w:r>
        <w:rPr>
          <w:rFonts w:ascii="楷体_GB2312" w:hAnsi="仿宋_GB2312" w:eastAsia="楷体_GB2312" w:cs="仿宋_GB2312"/>
          <w:sz w:val="30"/>
          <w:szCs w:val="30"/>
        </w:rPr>
        <w:tab/>
      </w:r>
      <w:r>
        <w:rPr>
          <w:rFonts w:hint="eastAsia" w:ascii="楷体_GB2312" w:hAnsi="仿宋_GB2312" w:eastAsia="楷体_GB2312" w:cs="仿宋_GB2312"/>
          <w:sz w:val="30"/>
          <w:szCs w:val="30"/>
        </w:rPr>
        <w:t>隆回县</w:t>
      </w:r>
      <w:r>
        <w:rPr>
          <w:rFonts w:hint="eastAsia" w:ascii="楷体_GB2312" w:hAnsi="仿宋_GB2312" w:eastAsia="楷体_GB2312" w:cs="仿宋_GB2312"/>
          <w:sz w:val="30"/>
          <w:szCs w:val="30"/>
          <w:lang w:eastAsia="zh-CN"/>
        </w:rPr>
        <w:t>滩头</w:t>
      </w:r>
      <w:r>
        <w:rPr>
          <w:rFonts w:hint="eastAsia" w:ascii="楷体_GB2312" w:hAnsi="仿宋_GB2312" w:eastAsia="楷体_GB2312" w:cs="仿宋_GB2312"/>
          <w:sz w:val="30"/>
          <w:szCs w:val="30"/>
        </w:rPr>
        <w:t>镇中心学校</w:t>
      </w:r>
    </w:p>
    <w:p>
      <w:pPr>
        <w:spacing w:line="600" w:lineRule="exact"/>
        <w:ind w:firstLine="600" w:firstLineChars="200"/>
      </w:pPr>
      <w:r>
        <w:rPr>
          <w:rFonts w:hint="eastAsia" w:ascii="楷体_GB2312" w:hAnsi="仿宋_GB2312" w:eastAsia="楷体_GB2312" w:cs="仿宋_GB2312"/>
          <w:sz w:val="30"/>
          <w:szCs w:val="30"/>
        </w:rPr>
        <w:t xml:space="preserve">                           </w:t>
      </w:r>
      <w:r>
        <w:rPr>
          <w:rFonts w:ascii="楷体_GB2312" w:hAnsi="仿宋_GB2312" w:eastAsia="楷体_GB2312" w:cs="仿宋_GB2312"/>
          <w:sz w:val="30"/>
          <w:szCs w:val="30"/>
        </w:rPr>
        <w:t xml:space="preserve">     </w:t>
      </w:r>
      <w:r>
        <w:rPr>
          <w:rFonts w:hint="eastAsia" w:ascii="楷体_GB2312" w:hAnsi="仿宋_GB2312" w:eastAsia="楷体_GB2312" w:cs="仿宋_GB2312"/>
          <w:sz w:val="30"/>
          <w:szCs w:val="30"/>
        </w:rPr>
        <w:t xml:space="preserve"> 202</w:t>
      </w:r>
      <w:r>
        <w:rPr>
          <w:rFonts w:ascii="楷体_GB2312" w:hAnsi="仿宋_GB2312" w:eastAsia="楷体_GB2312" w:cs="仿宋_GB2312"/>
          <w:sz w:val="30"/>
          <w:szCs w:val="30"/>
        </w:rPr>
        <w:t>1</w:t>
      </w:r>
      <w:r>
        <w:rPr>
          <w:rFonts w:hint="eastAsia" w:ascii="楷体_GB2312" w:hAnsi="仿宋_GB2312" w:eastAsia="楷体_GB2312" w:cs="仿宋_GB2312"/>
          <w:sz w:val="30"/>
          <w:szCs w:val="30"/>
        </w:rPr>
        <w:t>年4月</w:t>
      </w:r>
      <w:r>
        <w:rPr>
          <w:rFonts w:ascii="楷体_GB2312" w:hAnsi="仿宋_GB2312" w:eastAsia="楷体_GB2312" w:cs="仿宋_GB2312"/>
          <w:sz w:val="30"/>
          <w:szCs w:val="30"/>
        </w:rPr>
        <w:t>21</w:t>
      </w:r>
      <w:r>
        <w:rPr>
          <w:rFonts w:hint="eastAsia" w:ascii="楷体_GB2312" w:hAnsi="仿宋_GB2312" w:eastAsia="楷体_GB2312" w:cs="仿宋_GB2312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538B0"/>
    <w:rsid w:val="000E1DFA"/>
    <w:rsid w:val="000F4366"/>
    <w:rsid w:val="00104ACD"/>
    <w:rsid w:val="00325E73"/>
    <w:rsid w:val="00422189"/>
    <w:rsid w:val="005A7518"/>
    <w:rsid w:val="005C519D"/>
    <w:rsid w:val="006E4A2B"/>
    <w:rsid w:val="007232DE"/>
    <w:rsid w:val="007B02C9"/>
    <w:rsid w:val="007B7C81"/>
    <w:rsid w:val="007E5546"/>
    <w:rsid w:val="007F0244"/>
    <w:rsid w:val="007F6B78"/>
    <w:rsid w:val="00850EA9"/>
    <w:rsid w:val="008623F1"/>
    <w:rsid w:val="00875C52"/>
    <w:rsid w:val="008A77C2"/>
    <w:rsid w:val="008D241D"/>
    <w:rsid w:val="00AC34BB"/>
    <w:rsid w:val="00AD0936"/>
    <w:rsid w:val="00B17FE5"/>
    <w:rsid w:val="00B34A70"/>
    <w:rsid w:val="00BB1B00"/>
    <w:rsid w:val="00C1132A"/>
    <w:rsid w:val="00C27D35"/>
    <w:rsid w:val="00D86CD4"/>
    <w:rsid w:val="00DA7609"/>
    <w:rsid w:val="00DC72B4"/>
    <w:rsid w:val="00E547E3"/>
    <w:rsid w:val="00F244CD"/>
    <w:rsid w:val="00F46CF6"/>
    <w:rsid w:val="00F70B04"/>
    <w:rsid w:val="00FB3945"/>
    <w:rsid w:val="02052F71"/>
    <w:rsid w:val="022D0FF4"/>
    <w:rsid w:val="058C526B"/>
    <w:rsid w:val="06846D8D"/>
    <w:rsid w:val="07247C28"/>
    <w:rsid w:val="07506C6F"/>
    <w:rsid w:val="08670714"/>
    <w:rsid w:val="09E3201C"/>
    <w:rsid w:val="0AD6392F"/>
    <w:rsid w:val="0B3B3AD2"/>
    <w:rsid w:val="0C6702D8"/>
    <w:rsid w:val="0DB00E60"/>
    <w:rsid w:val="11C20769"/>
    <w:rsid w:val="13113C31"/>
    <w:rsid w:val="164B3423"/>
    <w:rsid w:val="175427B6"/>
    <w:rsid w:val="18D538B0"/>
    <w:rsid w:val="1A116732"/>
    <w:rsid w:val="1AA9696A"/>
    <w:rsid w:val="1F0028D1"/>
    <w:rsid w:val="20B816B5"/>
    <w:rsid w:val="21112704"/>
    <w:rsid w:val="211D776A"/>
    <w:rsid w:val="21B544E3"/>
    <w:rsid w:val="22EA7B20"/>
    <w:rsid w:val="22EB3FC4"/>
    <w:rsid w:val="234F08C0"/>
    <w:rsid w:val="23FA0466"/>
    <w:rsid w:val="240510B5"/>
    <w:rsid w:val="241C052D"/>
    <w:rsid w:val="2483632E"/>
    <w:rsid w:val="25875AFA"/>
    <w:rsid w:val="25C1100C"/>
    <w:rsid w:val="25C1725E"/>
    <w:rsid w:val="270F224B"/>
    <w:rsid w:val="272E5B44"/>
    <w:rsid w:val="27930786"/>
    <w:rsid w:val="28553C8E"/>
    <w:rsid w:val="2DE27688"/>
    <w:rsid w:val="2EA3668F"/>
    <w:rsid w:val="31532E23"/>
    <w:rsid w:val="31615451"/>
    <w:rsid w:val="34DF4D4D"/>
    <w:rsid w:val="35ED0978"/>
    <w:rsid w:val="368D14A2"/>
    <w:rsid w:val="36C95F72"/>
    <w:rsid w:val="36F861C0"/>
    <w:rsid w:val="375B6822"/>
    <w:rsid w:val="3A5F0EF9"/>
    <w:rsid w:val="3BBA232E"/>
    <w:rsid w:val="3BD50F16"/>
    <w:rsid w:val="3D2E684E"/>
    <w:rsid w:val="3DBE32F4"/>
    <w:rsid w:val="3DFB09DB"/>
    <w:rsid w:val="40321BD7"/>
    <w:rsid w:val="40322DDA"/>
    <w:rsid w:val="427C1A02"/>
    <w:rsid w:val="44250560"/>
    <w:rsid w:val="44CF2C0D"/>
    <w:rsid w:val="45196317"/>
    <w:rsid w:val="45E27FD9"/>
    <w:rsid w:val="47B918CB"/>
    <w:rsid w:val="49201968"/>
    <w:rsid w:val="4B531E57"/>
    <w:rsid w:val="4DC579D5"/>
    <w:rsid w:val="4F392436"/>
    <w:rsid w:val="4FAD124E"/>
    <w:rsid w:val="50C51BC3"/>
    <w:rsid w:val="51BA2C30"/>
    <w:rsid w:val="54B971CF"/>
    <w:rsid w:val="558A3F41"/>
    <w:rsid w:val="55AE6607"/>
    <w:rsid w:val="55F84E9E"/>
    <w:rsid w:val="57961A49"/>
    <w:rsid w:val="57E666CC"/>
    <w:rsid w:val="593E4146"/>
    <w:rsid w:val="59A541C5"/>
    <w:rsid w:val="59B368E2"/>
    <w:rsid w:val="5A032B90"/>
    <w:rsid w:val="5AB83A84"/>
    <w:rsid w:val="5BD20B76"/>
    <w:rsid w:val="5D427E63"/>
    <w:rsid w:val="5D8557B7"/>
    <w:rsid w:val="5E345B18"/>
    <w:rsid w:val="5ED846F5"/>
    <w:rsid w:val="624B7144"/>
    <w:rsid w:val="635B32B1"/>
    <w:rsid w:val="63D47C8E"/>
    <w:rsid w:val="64E83085"/>
    <w:rsid w:val="684D1CB0"/>
    <w:rsid w:val="6A54396B"/>
    <w:rsid w:val="6DC9627D"/>
    <w:rsid w:val="6E2E57A9"/>
    <w:rsid w:val="6E76618A"/>
    <w:rsid w:val="6EC66318"/>
    <w:rsid w:val="6FD9207B"/>
    <w:rsid w:val="6FE23626"/>
    <w:rsid w:val="70651B61"/>
    <w:rsid w:val="71BA7398"/>
    <w:rsid w:val="71D64AC4"/>
    <w:rsid w:val="746A3BEA"/>
    <w:rsid w:val="75596138"/>
    <w:rsid w:val="76F005DE"/>
    <w:rsid w:val="771D13E7"/>
    <w:rsid w:val="779A2707"/>
    <w:rsid w:val="78853E63"/>
    <w:rsid w:val="7AF149D7"/>
    <w:rsid w:val="7BC938EC"/>
    <w:rsid w:val="7DDF11A4"/>
    <w:rsid w:val="7DFA551D"/>
    <w:rsid w:val="7E6C330C"/>
    <w:rsid w:val="7EA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2645</Words>
  <Characters>2798</Characters>
  <Lines>22</Lines>
  <Paragraphs>6</Paragraphs>
  <TotalTime>49</TotalTime>
  <ScaleCrop>false</ScaleCrop>
  <LinksUpToDate>false</LinksUpToDate>
  <CharactersWithSpaces>2970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2022-04-20T00:12:00Z</dcterms:created>
  <dc:creator>彭礼孝</dc:creator>
  <cp:lastModifiedBy>冰冰洁 </cp:lastModifiedBy>
  <cp:lastPrinted>2022-04-21T05:48:00Z</cp:lastPrinted>
  <dcterms:modified xsi:type="dcterms:W3CDTF">2022-04-21T08:42:50Z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FC4AD5B48165493FADE0A0374E14E380</vt:lpwstr>
  </property>
</Properties>
</file>