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标宋简体" w:hAnsi="方正大标宋简体" w:eastAsia="方正大标宋简体" w:cs="方正大标宋简体"/>
          <w:b w:val="0"/>
          <w:bCs/>
          <w:kern w:val="0"/>
          <w:sz w:val="44"/>
          <w:szCs w:val="44"/>
        </w:rPr>
      </w:pPr>
      <w:r>
        <w:rPr>
          <w:rFonts w:hint="eastAsia" w:ascii="方正大标宋简体" w:hAnsi="方正大标宋简体" w:eastAsia="方正大标宋简体" w:cs="方正大标宋简体"/>
          <w:b w:val="0"/>
          <w:bCs/>
          <w:kern w:val="0"/>
          <w:sz w:val="44"/>
          <w:szCs w:val="44"/>
          <w:lang w:val="en-US" w:eastAsia="zh-CN"/>
        </w:rPr>
        <w:t>隆回县审计局</w:t>
      </w:r>
      <w:r>
        <w:rPr>
          <w:rFonts w:hint="eastAsia" w:ascii="方正大标宋简体" w:hAnsi="方正大标宋简体" w:eastAsia="方正大标宋简体" w:cs="方正大标宋简体"/>
          <w:b w:val="0"/>
          <w:bCs/>
          <w:kern w:val="0"/>
          <w:sz w:val="44"/>
          <w:szCs w:val="44"/>
        </w:rPr>
        <w:t>部门整体支出绩效自评报告</w:t>
      </w:r>
    </w:p>
    <w:p>
      <w:pPr>
        <w:jc w:val="center"/>
        <w:rPr>
          <w:rFonts w:hint="eastAsia" w:ascii="楷体" w:hAnsi="楷体" w:eastAsia="楷体" w:cs="楷体"/>
          <w:b/>
          <w:bCs/>
          <w:sz w:val="32"/>
          <w:szCs w:val="32"/>
        </w:rPr>
      </w:pPr>
    </w:p>
    <w:p>
      <w:pPr>
        <w:ind w:firstLine="420" w:firstLineChars="20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（一）部门基本情况</w:t>
      </w:r>
    </w:p>
    <w:p>
      <w:pPr>
        <w:spacing w:line="600" w:lineRule="exact"/>
        <w:ind w:firstLine="640" w:firstLineChars="200"/>
        <w:contextualSpacing/>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zh-CN" w:eastAsia="zh-CN"/>
        </w:rPr>
        <w:t>隆回县审计局主要工作职责是对县本级财政预算执行和其它财政收支、行政企事业单位财政财务收支、各项财政性专项资金、县管党政领导干部任期经济责任、自然资源和环保、政府投资建设项目等进行审计监督。</w:t>
      </w:r>
      <w:r>
        <w:rPr>
          <w:rFonts w:hint="eastAsia" w:ascii="仿宋_GB2312" w:hAnsi="仿宋_GB2312" w:eastAsia="仿宋_GB2312" w:cs="仿宋_GB2312"/>
          <w:color w:val="000000"/>
          <w:sz w:val="32"/>
          <w:szCs w:val="32"/>
          <w:lang w:val="en-US" w:eastAsia="zh-CN"/>
        </w:rPr>
        <w:t xml:space="preserve"> </w:t>
      </w:r>
    </w:p>
    <w:p>
      <w:pPr>
        <w:spacing w:line="600" w:lineRule="exact"/>
        <w:ind w:firstLine="640" w:firstLineChars="200"/>
        <w:contextualSpacing/>
        <w:jc w:val="left"/>
        <w:rPr>
          <w:rFonts w:hint="eastAsia"/>
        </w:rPr>
      </w:pPr>
      <w:r>
        <w:rPr>
          <w:rFonts w:hint="eastAsia" w:ascii="仿宋_GB2312" w:hAnsi="仿宋_GB2312" w:eastAsia="仿宋_GB2312" w:cs="仿宋_GB2312"/>
          <w:color w:val="000000"/>
          <w:sz w:val="32"/>
          <w:szCs w:val="32"/>
          <w:lang w:val="en-US" w:eastAsia="zh-CN"/>
        </w:rPr>
        <w:t>隆回县审计局编制人数为37人，实有在职人数36人。无公车。房屋面积3000平方米。</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年的重点工作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lang w:val="en-US" w:eastAsia="zh-CN"/>
          <w14:textFill>
            <w14:solidFill>
              <w14:schemeClr w14:val="tx1"/>
            </w14:solidFill>
          </w14:textFill>
        </w:rPr>
        <w:t>1.</w:t>
      </w:r>
      <w:r>
        <w:rPr>
          <w:rFonts w:hint="eastAsia" w:ascii="仿宋_GB2312" w:hAnsi="Arial" w:eastAsia="仿宋_GB2312" w:cs="Arial"/>
          <w:color w:val="000000" w:themeColor="text1"/>
          <w:sz w:val="32"/>
          <w:szCs w:val="32"/>
          <w14:textFill>
            <w14:solidFill>
              <w14:schemeClr w14:val="tx1"/>
            </w14:solidFill>
          </w14:textFill>
        </w:rPr>
        <w:t>财政审计全覆盖、延深度。依托大数据审计，对县本级所有一级预算单位进行审计，促进深化财税体制改革，维护财政纪律严肃性，助推提高财政管理水平，为县域经济发展“保驾护航”。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lang w:val="en-US" w:eastAsia="zh-CN"/>
          <w14:textFill>
            <w14:solidFill>
              <w14:schemeClr w14:val="tx1"/>
            </w14:solidFill>
          </w14:textFill>
        </w:rPr>
        <w:t>2.</w:t>
      </w:r>
      <w:r>
        <w:rPr>
          <w:rFonts w:hint="eastAsia" w:ascii="仿宋_GB2312" w:hAnsi="Arial" w:eastAsia="仿宋_GB2312" w:cs="Arial"/>
          <w:color w:val="000000" w:themeColor="text1"/>
          <w:sz w:val="32"/>
          <w:szCs w:val="32"/>
          <w14:textFill>
            <w14:solidFill>
              <w14:schemeClr w14:val="tx1"/>
            </w14:solidFill>
          </w14:textFill>
        </w:rPr>
        <w:t>经责审计依规定，促规范。认真执行经济责任审计规定，依法依规确定审计内容，坚持“三个区分开来”和实事求是原则，聚焦领导干部权力运行和责任落实，客观反映问题，准确界定责任，审慎作出评价，激励干部履职尽责、担当作为、保护干事创业的积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lang w:val="en-US" w:eastAsia="zh-CN"/>
          <w14:textFill>
            <w14:solidFill>
              <w14:schemeClr w14:val="tx1"/>
            </w14:solidFill>
          </w14:textFill>
        </w:rPr>
        <w:t>3.</w:t>
      </w:r>
      <w:r>
        <w:rPr>
          <w:rFonts w:hint="eastAsia" w:ascii="仿宋_GB2312" w:hAnsi="Arial" w:eastAsia="仿宋_GB2312" w:cs="Arial"/>
          <w:color w:val="000000" w:themeColor="text1"/>
          <w:sz w:val="32"/>
          <w:szCs w:val="32"/>
          <w14:textFill>
            <w14:solidFill>
              <w14:schemeClr w14:val="tx1"/>
            </w14:solidFill>
          </w14:textFill>
        </w:rPr>
        <w:t>民生审计有成效、显温度。重点关注就业、教育、医疗、社保、保障性住房等各类民生政策的落实、民生资金的分配拨付使用及民生工程项目的建设运营等情况，揭示政策落实过程中存在的偏差及影响政策发挥效应的体制性障碍和机制性弊端，以及风险防范和管理漏洞，揭示和查处医保社保基金、养老保险等民生资金使用过程中挤占挪用、虚报套取等侵害群众利益的问题，揭示和查处借民生工程建设之机做表面文章、搞“政绩工程”的问题，促进各项政策更加惠及和保障民生、民生资金更好发挥效益、民生工程安全高效建设和运营，确保党的惠民政策落到实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lang w:val="en-US" w:eastAsia="zh-CN"/>
          <w14:textFill>
            <w14:solidFill>
              <w14:schemeClr w14:val="tx1"/>
            </w14:solidFill>
          </w14:textFill>
        </w:rPr>
        <w:t>4.</w:t>
      </w:r>
      <w:r>
        <w:rPr>
          <w:rFonts w:hint="eastAsia" w:ascii="仿宋_GB2312" w:hAnsi="Arial" w:eastAsia="仿宋_GB2312" w:cs="Arial"/>
          <w:color w:val="000000" w:themeColor="text1"/>
          <w:sz w:val="32"/>
          <w:szCs w:val="32"/>
          <w14:textFill>
            <w14:solidFill>
              <w14:schemeClr w14:val="tx1"/>
            </w14:solidFill>
          </w14:textFill>
        </w:rPr>
        <w:t>投资审计转方式、拓广度。重点关注立项审批、招投标、项目建设、征地拆迁等关键环节，以及项目概算调整、资金管理使用等重点内容，促进投资有效落地、提高资金使用绩效。认真贯彻落实《邵阳市政府投资建设项目审计监督实施办法》，改变推行审计新模式，稳步推进投资审计“三个转变”，进一步加强和规范政府投资项目和资金审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lang w:val="en-US" w:eastAsia="zh-CN"/>
          <w14:textFill>
            <w14:solidFill>
              <w14:schemeClr w14:val="tx1"/>
            </w14:solidFill>
          </w14:textFill>
        </w:rPr>
        <w:t>5.</w:t>
      </w:r>
      <w:r>
        <w:rPr>
          <w:rFonts w:hint="eastAsia" w:ascii="仿宋_GB2312" w:hAnsi="Arial" w:eastAsia="仿宋_GB2312" w:cs="Arial"/>
          <w:color w:val="000000" w:themeColor="text1"/>
          <w:sz w:val="32"/>
          <w:szCs w:val="32"/>
          <w14:textFill>
            <w14:solidFill>
              <w14:schemeClr w14:val="tx1"/>
            </w14:solidFill>
          </w14:textFill>
        </w:rPr>
        <w:t>审计整改重落实、建机制。根据新修订的《审计法》和《隆回县人民代表大会常务委员会关于审计查出问题整改监督办法》，提高政治站位强推动，压实整改责任敢担当，坚持多方联动聚合力，采取多种措施加强审计整改跟踪督导，联合县人大财经委组成审计查出问题整改情况检查组，对审计查出问题整改落实情况开展跟踪检查，督促落实整改，审计成效进一步彰显，审计整改问题167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（三）部门整体支出情况</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rPr>
      </w:pPr>
      <w:r>
        <w:rPr>
          <w:rFonts w:hint="eastAsia" w:ascii="仿宋_GB2312" w:hAnsi="仿宋_GB2312" w:eastAsia="仿宋_GB2312" w:cs="仿宋_GB2312"/>
          <w:kern w:val="2"/>
          <w:sz w:val="32"/>
          <w:szCs w:val="32"/>
          <w:lang w:val="en-US" w:eastAsia="zh-CN" w:bidi="ar"/>
        </w:rPr>
        <w:t>2022年年终决算支出数为737.25万元。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二、部门整体支出管理及使用情况</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（一）基本支出情况</w:t>
      </w:r>
    </w:p>
    <w:p>
      <w:pPr>
        <w:pStyle w:val="7"/>
        <w:keepNext w:val="0"/>
        <w:keepLines w:val="0"/>
        <w:pageBreakBefore w:val="0"/>
        <w:widowControl/>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rPr>
      </w:pPr>
      <w:r>
        <w:rPr>
          <w:rFonts w:hint="eastAsia" w:ascii="仿宋_GB2312" w:hAnsi="仿宋_GB2312" w:eastAsia="仿宋_GB2312" w:cs="仿宋_GB2312"/>
          <w:kern w:val="2"/>
          <w:sz w:val="32"/>
          <w:szCs w:val="32"/>
          <w:lang w:val="en-US" w:eastAsia="zh-CN" w:bidi="ar"/>
        </w:rPr>
        <w:t>2022年基本支出年终决算数为737.25万元，是指为保障单位机构正常运转、完成日常工作任务而发生的各项支出，包括用于基本工资、津贴补贴等人员经费以及办公费、印刷费、水电费及办公设备购置、其他交通费、委托社会中介机构审计费等日常公用经费。</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项目支出情况</w:t>
      </w:r>
    </w:p>
    <w:p>
      <w:pPr>
        <w:pStyle w:val="7"/>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lang w:val="en-US" w:eastAsia="zh-CN"/>
        </w:rPr>
      </w:pPr>
      <w:r>
        <w:rPr>
          <w:rFonts w:hint="eastAsia" w:ascii="仿宋_GB2312" w:hAnsi="仿宋_GB2312" w:eastAsia="仿宋_GB2312" w:cs="仿宋_GB2312"/>
          <w:color w:val="000000"/>
          <w:kern w:val="2"/>
          <w:sz w:val="32"/>
          <w:szCs w:val="32"/>
          <w:lang w:val="en-US" w:eastAsia="zh-CN" w:bidi="ar-SA"/>
        </w:rPr>
        <w:t>2022年度无专项项目资金支出。</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“三公”经费情况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eastAsia="仿宋_GB2312"/>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eastAsia="仿宋_GB2312"/>
          <w:sz w:val="32"/>
          <w:szCs w:val="32"/>
        </w:rPr>
        <w:t>因公出国（境）费用</w:t>
      </w:r>
      <w:r>
        <w:rPr>
          <w:rFonts w:hint="eastAsia" w:ascii="仿宋_GB2312" w:hAnsi="仿宋_GB2312" w:eastAsia="仿宋_GB2312" w:cs="仿宋_GB2312"/>
          <w:color w:val="000000"/>
          <w:sz w:val="32"/>
          <w:szCs w:val="32"/>
          <w:lang w:val="en-US" w:eastAsia="zh-CN"/>
        </w:rPr>
        <w:t>：2022</w:t>
      </w:r>
      <w:r>
        <w:rPr>
          <w:rFonts w:hint="eastAsia" w:eastAsia="仿宋_GB2312"/>
          <w:sz w:val="32"/>
          <w:szCs w:val="32"/>
          <w:lang w:val="en-US" w:eastAsia="zh-CN"/>
        </w:rPr>
        <w:t>年本单位无因公出国（境）费用。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2.公务接</w:t>
      </w:r>
      <w:r>
        <w:rPr>
          <w:rFonts w:hint="eastAsia" w:eastAsia="仿宋_GB2312"/>
          <w:sz w:val="32"/>
          <w:szCs w:val="32"/>
          <w:lang w:val="en-US" w:eastAsia="zh-CN"/>
        </w:rPr>
        <w:t>待费：</w:t>
      </w:r>
      <w:r>
        <w:rPr>
          <w:rFonts w:hint="eastAsia" w:ascii="仿宋_GB2312" w:hAnsi="仿宋_GB2312" w:eastAsia="仿宋_GB2312" w:cs="仿宋_GB2312"/>
          <w:color w:val="000000"/>
          <w:sz w:val="32"/>
          <w:szCs w:val="32"/>
          <w:lang w:val="en-US" w:eastAsia="zh-CN"/>
        </w:rPr>
        <w:t>2022年我单位“三公”经费实际支出数0.08万元，其中：公务接待费0.08万元。</w:t>
      </w:r>
    </w:p>
    <w:p>
      <w:pPr>
        <w:pStyle w:val="2"/>
        <w:numPr>
          <w:ilvl w:val="0"/>
          <w:numId w:val="0"/>
        </w:numPr>
        <w:ind w:firstLine="640" w:firstLineChars="200"/>
        <w:rPr>
          <w:rFonts w:hint="eastAsia"/>
        </w:rPr>
      </w:pPr>
      <w:r>
        <w:rPr>
          <w:rFonts w:hint="eastAsia" w:ascii="仿宋_GB2312" w:hAnsi="仿宋_GB2312" w:eastAsia="仿宋_GB2312" w:cs="仿宋_GB2312"/>
          <w:color w:val="000000"/>
          <w:sz w:val="32"/>
          <w:szCs w:val="32"/>
          <w:lang w:val="en-US" w:eastAsia="zh-CN"/>
        </w:rPr>
        <w:t>3.</w:t>
      </w:r>
      <w:r>
        <w:rPr>
          <w:rFonts w:hint="eastAsia" w:eastAsia="仿宋_GB2312"/>
          <w:sz w:val="32"/>
          <w:szCs w:val="32"/>
        </w:rPr>
        <w:t>公务用车购置及运行费</w:t>
      </w:r>
      <w:r>
        <w:rPr>
          <w:rFonts w:hint="eastAsia" w:eastAsia="仿宋_GB2312"/>
          <w:sz w:val="32"/>
          <w:szCs w:val="32"/>
          <w:lang w:eastAsia="zh-CN"/>
        </w:rPr>
        <w:t>：</w:t>
      </w:r>
      <w:r>
        <w:rPr>
          <w:rFonts w:hint="eastAsia" w:ascii="仿宋_GB2312" w:hAnsi="仿宋_GB2312" w:eastAsia="仿宋_GB2312" w:cs="仿宋_GB2312"/>
          <w:color w:val="000000"/>
          <w:sz w:val="32"/>
          <w:szCs w:val="32"/>
          <w:lang w:val="en-US" w:eastAsia="zh-CN"/>
        </w:rPr>
        <w:t>本单位无公车。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2022年，</w:t>
      </w:r>
      <w:r>
        <w:rPr>
          <w:rFonts w:hint="eastAsia" w:ascii="Times New Roman" w:hAnsi="Times New Roman" w:eastAsia="仿宋_GB2312"/>
          <w:sz w:val="32"/>
          <w:szCs w:val="32"/>
        </w:rPr>
        <w:t>隆回县审计局</w:t>
      </w:r>
      <w:r>
        <w:rPr>
          <w:rFonts w:hint="eastAsia" w:ascii="仿宋_GB2312" w:hAnsi="Arial" w:eastAsia="仿宋_GB2312" w:cs="Arial"/>
          <w:color w:val="000000" w:themeColor="text1"/>
          <w:sz w:val="32"/>
          <w:szCs w:val="32"/>
          <w14:textFill>
            <w14:solidFill>
              <w14:schemeClr w14:val="tx1"/>
            </w14:solidFill>
          </w14:textFill>
        </w:rPr>
        <w:t>在县委、县政府和上级审计机关的正确领导下，坚持</w:t>
      </w:r>
      <w:r>
        <w:rPr>
          <w:rFonts w:hint="eastAsia" w:ascii="仿宋_GB2312" w:hAnsi="微软雅黑" w:eastAsia="仿宋_GB2312"/>
          <w:color w:val="000000" w:themeColor="text1"/>
          <w:sz w:val="32"/>
          <w:szCs w:val="32"/>
          <w:shd w:val="clear" w:color="auto" w:fill="FFFFFF"/>
          <w14:textFill>
            <w14:solidFill>
              <w14:schemeClr w14:val="tx1"/>
            </w14:solidFill>
          </w14:textFill>
        </w:rPr>
        <w:t>以习近平新时代中国特色社会主义思想为指引，</w:t>
      </w:r>
      <w:r>
        <w:rPr>
          <w:rFonts w:hint="eastAsia" w:ascii="仿宋_GB2312" w:hAnsi="仿宋" w:eastAsia="仿宋_GB2312" w:cs="仿宋_GB2312"/>
          <w:color w:val="000000"/>
          <w:spacing w:val="7"/>
          <w:sz w:val="32"/>
          <w:szCs w:val="32"/>
          <w:shd w:val="clear" w:color="auto" w:fill="FFFFFF"/>
        </w:rPr>
        <w:t>全面贯彻习近平总书记关于审计工作的重要指示批示精神和李克强总理关于审计工作的讲话要求，</w:t>
      </w:r>
      <w:r>
        <w:rPr>
          <w:rFonts w:hint="eastAsia" w:ascii="仿宋_GB2312" w:eastAsia="仿宋_GB2312"/>
          <w:color w:val="000000" w:themeColor="text1"/>
          <w:sz w:val="32"/>
          <w:szCs w:val="32"/>
          <w:shd w:val="clear" w:color="auto" w:fill="FFFFFF"/>
          <w14:textFill>
            <w14:solidFill>
              <w14:schemeClr w14:val="tx1"/>
            </w14:solidFill>
          </w14:textFill>
        </w:rPr>
        <w:t>紧紧围绕县委、县政府中心工作，依法履行审计监督职责，不断创新审计方式方法，</w:t>
      </w:r>
      <w:r>
        <w:rPr>
          <w:rFonts w:hint="eastAsia" w:ascii="仿宋_GB2312" w:hAnsi="微软雅黑" w:eastAsia="仿宋_GB2312" w:cs="宋体"/>
          <w:color w:val="000000" w:themeColor="text1"/>
          <w:kern w:val="0"/>
          <w:sz w:val="32"/>
          <w:szCs w:val="32"/>
          <w14:textFill>
            <w14:solidFill>
              <w14:schemeClr w14:val="tx1"/>
            </w14:solidFill>
          </w14:textFill>
        </w:rPr>
        <w:t>充分发挥“经济卫士”作用，</w:t>
      </w:r>
      <w:r>
        <w:rPr>
          <w:rFonts w:hint="eastAsia" w:ascii="Times New Roman" w:hAnsi="Times New Roman" w:eastAsia="仿宋_GB2312" w:cs="仿宋_GB2312"/>
          <w:sz w:val="32"/>
          <w:szCs w:val="32"/>
        </w:rPr>
        <w:t>圆满完成各项工作任务。再次成功创建湖南省文明单位</w:t>
      </w:r>
      <w:r>
        <w:rPr>
          <w:rFonts w:hint="eastAsia" w:ascii="仿宋_GB2312" w:hAnsi="微软雅黑" w:eastAsia="仿宋_GB2312" w:cs="宋体"/>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仿宋_GB2312" w:hAnsi="仿宋" w:eastAsia="仿宋_GB2312" w:cs="Arial"/>
          <w:color w:val="000000"/>
          <w:kern w:val="0"/>
          <w:sz w:val="32"/>
          <w:szCs w:val="32"/>
        </w:rPr>
        <w:t>全年共完成财政财务、专项审计等项目58个，查出各类违规金额6368万元，管理不规范金额75891万元，被采纳审计建议 98条，向县纪委监委移送问题线索2起。完成工程造价审核项目203个，送审金额95867万元，审减金额6702万元。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存在的问题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rPr>
      </w:pPr>
      <w:r>
        <w:rPr>
          <w:rFonts w:hint="eastAsia" w:ascii="仿宋_GB2312" w:hAnsi="仿宋_GB2312" w:eastAsia="仿宋_GB2312" w:cs="仿宋_GB2312"/>
          <w:kern w:val="2"/>
          <w:sz w:val="32"/>
          <w:szCs w:val="32"/>
          <w:lang w:val="en-US" w:eastAsia="zh-CN" w:bidi="ar"/>
        </w:rPr>
        <w:t>随着审计全覆盖的实行，审计任务繁重与审计力量不足的矛盾比较突出，加之抽调人员频繁，时常显得审计力量捉襟见肘，进一步提升审计工作效能有待加强。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加强审计人员业务知识培训，促进研究型审计。根据上级审计机关促进研究型审计的要求和现代审计发展的需要，对</w:t>
      </w:r>
      <w:r>
        <w:rPr>
          <w:rFonts w:hint="eastAsia" w:ascii="仿宋_GB2312" w:hAnsi="仿宋_GB2312" w:eastAsia="仿宋_GB2312" w:cs="仿宋_GB2312"/>
          <w:color w:val="000000"/>
          <w:sz w:val="32"/>
          <w:szCs w:val="32"/>
          <w:shd w:val="clear" w:color="auto" w:fill="FFFFFF"/>
        </w:rPr>
        <w:t>审计人员</w:t>
      </w:r>
      <w:r>
        <w:rPr>
          <w:rFonts w:hint="eastAsia" w:ascii="仿宋_GB2312" w:hAnsi="仿宋_GB2312" w:eastAsia="仿宋_GB2312" w:cs="仿宋_GB2312"/>
          <w:color w:val="000000"/>
          <w:sz w:val="32"/>
          <w:szCs w:val="32"/>
          <w:shd w:val="clear" w:color="auto" w:fill="FFFFFF"/>
          <w:lang w:val="en-US" w:eastAsia="zh-CN"/>
        </w:rPr>
        <w:t>综合素质</w:t>
      </w:r>
      <w:r>
        <w:rPr>
          <w:rFonts w:hint="eastAsia" w:ascii="仿宋_GB2312" w:hAnsi="仿宋_GB2312" w:eastAsia="仿宋_GB2312" w:cs="仿宋_GB2312"/>
          <w:color w:val="000000"/>
          <w:sz w:val="32"/>
          <w:szCs w:val="32"/>
          <w:shd w:val="clear" w:color="auto" w:fill="FFFFFF"/>
        </w:rPr>
        <w:t>的要求</w:t>
      </w:r>
      <w:r>
        <w:rPr>
          <w:rFonts w:hint="eastAsia" w:ascii="仿宋_GB2312" w:hAnsi="仿宋_GB2312" w:eastAsia="仿宋_GB2312" w:cs="仿宋_GB2312"/>
          <w:color w:val="000000"/>
          <w:sz w:val="32"/>
          <w:szCs w:val="32"/>
          <w:shd w:val="clear" w:color="auto" w:fill="FFFFFF"/>
          <w:lang w:val="en-US" w:eastAsia="zh-CN"/>
        </w:rPr>
        <w:t>越来越高</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现阶段我单位</w:t>
      </w:r>
      <w:r>
        <w:rPr>
          <w:rFonts w:hint="eastAsia" w:ascii="仿宋_GB2312" w:hAnsi="仿宋_GB2312" w:eastAsia="仿宋_GB2312" w:cs="仿宋_GB2312"/>
          <w:color w:val="000000"/>
          <w:sz w:val="32"/>
          <w:szCs w:val="32"/>
          <w:shd w:val="clear" w:color="auto" w:fill="FFFFFF"/>
        </w:rPr>
        <w:t>审计人员</w:t>
      </w:r>
      <w:r>
        <w:rPr>
          <w:rFonts w:hint="eastAsia" w:ascii="仿宋_GB2312" w:hAnsi="仿宋_GB2312" w:eastAsia="仿宋_GB2312" w:cs="仿宋_GB2312"/>
          <w:color w:val="000000"/>
          <w:sz w:val="32"/>
          <w:szCs w:val="32"/>
          <w:shd w:val="clear" w:color="auto" w:fill="FFFFFF"/>
          <w:lang w:val="en-US" w:eastAsia="zh-CN"/>
        </w:rPr>
        <w:t>大部分为财务审计专业人员，</w:t>
      </w:r>
      <w:r>
        <w:rPr>
          <w:rFonts w:hint="eastAsia" w:ascii="仿宋_GB2312" w:hAnsi="仿宋_GB2312" w:eastAsia="仿宋_GB2312" w:cs="仿宋_GB2312"/>
          <w:color w:val="000000"/>
          <w:sz w:val="32"/>
          <w:szCs w:val="32"/>
          <w:shd w:val="clear" w:color="auto" w:fill="FFFFFF"/>
        </w:rPr>
        <w:t>知识结构</w:t>
      </w:r>
      <w:r>
        <w:rPr>
          <w:rFonts w:hint="eastAsia" w:ascii="仿宋_GB2312" w:hAnsi="仿宋_GB2312" w:eastAsia="仿宋_GB2312" w:cs="仿宋_GB2312"/>
          <w:color w:val="000000"/>
          <w:sz w:val="32"/>
          <w:szCs w:val="32"/>
          <w:shd w:val="clear" w:color="auto" w:fill="FFFFFF"/>
          <w:lang w:val="en-US" w:eastAsia="zh-CN"/>
        </w:rPr>
        <w:t>相对</w:t>
      </w:r>
      <w:r>
        <w:rPr>
          <w:rFonts w:hint="eastAsia" w:ascii="仿宋_GB2312" w:hAnsi="仿宋_GB2312" w:eastAsia="仿宋_GB2312" w:cs="仿宋_GB2312"/>
          <w:color w:val="000000"/>
          <w:sz w:val="32"/>
          <w:szCs w:val="32"/>
          <w:shd w:val="clear" w:color="auto" w:fill="FFFFFF"/>
        </w:rPr>
        <w:t>单一，计算机审计水平</w:t>
      </w:r>
      <w:r>
        <w:rPr>
          <w:rFonts w:hint="eastAsia" w:ascii="仿宋_GB2312" w:hAnsi="仿宋_GB2312" w:eastAsia="仿宋_GB2312" w:cs="仿宋_GB2312"/>
          <w:color w:val="000000"/>
          <w:sz w:val="32"/>
          <w:szCs w:val="32"/>
          <w:shd w:val="clear" w:color="auto" w:fill="FFFFFF"/>
          <w:lang w:val="en-US" w:eastAsia="zh-CN"/>
        </w:rPr>
        <w:t>有待提高</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要加大对审计人员业务知识学习和培训的力度</w:t>
      </w:r>
      <w:r>
        <w:rPr>
          <w:rFonts w:hint="eastAsia" w:ascii="仿宋_GB2312" w:hAnsi="仿宋_GB2312" w:eastAsia="仿宋_GB2312" w:cs="仿宋_GB2312"/>
          <w:kern w:val="2"/>
          <w:sz w:val="32"/>
          <w:szCs w:val="32"/>
          <w:lang w:val="en-US" w:eastAsia="zh-CN" w:bidi="ar"/>
        </w:rPr>
        <w:t>。</w:t>
      </w:r>
    </w:p>
    <w:p>
      <w:pPr>
        <w:pStyle w:val="2"/>
        <w:ind w:left="0" w:leftChars="0" w:firstLine="0" w:firstLineChars="0"/>
        <w:rPr>
          <w:rFonts w:hint="eastAsia" w:ascii="仿宋" w:hAnsi="仿宋" w:eastAsia="仿宋" w:cs="仿宋"/>
          <w:color w:val="000000" w:themeColor="text1"/>
          <w:sz w:val="32"/>
          <w:szCs w:val="32"/>
          <w14:textFill>
            <w14:solidFill>
              <w14:schemeClr w14:val="tx1"/>
            </w14:solidFill>
          </w14:textFill>
        </w:rPr>
      </w:pPr>
    </w:p>
    <w:sectPr>
      <w:headerReference r:id="rId3" w:type="default"/>
      <w:footerReference r:id="rId4" w:type="default"/>
      <w:footerReference r:id="rId5" w:type="even"/>
      <w:pgSz w:w="11905" w:h="16837"/>
      <w:pgMar w:top="1701"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AEB744C-A2E3-4D4C-91CC-5138428FD8EF}"/>
  </w:font>
  <w:font w:name="黑体">
    <w:panose1 w:val="02010609060101010101"/>
    <w:charset w:val="86"/>
    <w:family w:val="auto"/>
    <w:pitch w:val="default"/>
    <w:sig w:usb0="800002BF" w:usb1="38CF7CFA" w:usb2="00000016" w:usb3="00000000" w:csb0="00040001" w:csb1="00000000"/>
    <w:embedRegular r:id="rId2" w:fontKey="{5460FD3E-B117-42F7-8197-CB9DC61311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embedRegular r:id="rId3" w:fontKey="{F38797BD-7B40-424B-A40C-A05FFE6ADB73}"/>
  </w:font>
  <w:font w:name="方正大标宋简体">
    <w:panose1 w:val="02000000000000000000"/>
    <w:charset w:val="86"/>
    <w:family w:val="auto"/>
    <w:pitch w:val="default"/>
    <w:sig w:usb0="A00002BF" w:usb1="184F6CFA" w:usb2="00000012" w:usb3="00000000" w:csb0="00040001" w:csb1="00000000"/>
    <w:embedRegular r:id="rId4" w:fontKey="{D05D5E42-6C28-4CA0-B509-76E5A4E1FAB7}"/>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embedRegular r:id="rId5" w:fontKey="{6B37F5B9-283F-4DAE-9550-D3F4B8230BD7}"/>
  </w:font>
  <w:font w:name="仿宋_GB2312">
    <w:panose1 w:val="02010609030101010101"/>
    <w:charset w:val="86"/>
    <w:family w:val="modern"/>
    <w:pitch w:val="default"/>
    <w:sig w:usb0="00000001" w:usb1="080E0000" w:usb2="00000000" w:usb3="00000000" w:csb0="00040000" w:csb1="00000000"/>
    <w:embedRegular r:id="rId6" w:fontKey="{2112F96A-D525-4517-9882-9A32E20C81F2}"/>
  </w:font>
  <w:font w:name="微软雅黑">
    <w:panose1 w:val="020B0503020204020204"/>
    <w:charset w:val="86"/>
    <w:family w:val="swiss"/>
    <w:pitch w:val="default"/>
    <w:sig w:usb0="80000287" w:usb1="2ACF3C50" w:usb2="00000016" w:usb3="00000000" w:csb0="0004001F" w:csb1="00000000"/>
    <w:embedRegular r:id="rId7" w:fontKey="{6B843E46-1AA6-4B7F-9F79-0DC10663937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8096E0"/>
    <w:multiLevelType w:val="singleLevel"/>
    <w:tmpl w:val="F98096E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1NGQyMjVkZjBlNGNmMGFiOTdhY2QyNDg3MmUwYzQifQ=="/>
  </w:docVars>
  <w:rsids>
    <w:rsidRoot w:val="18D538B0"/>
    <w:rsid w:val="002056D4"/>
    <w:rsid w:val="01600BAC"/>
    <w:rsid w:val="018E17F6"/>
    <w:rsid w:val="01E50D53"/>
    <w:rsid w:val="01E60FCB"/>
    <w:rsid w:val="01EB6738"/>
    <w:rsid w:val="03B40C48"/>
    <w:rsid w:val="03D2624F"/>
    <w:rsid w:val="040501C3"/>
    <w:rsid w:val="05323055"/>
    <w:rsid w:val="05E337FC"/>
    <w:rsid w:val="06536294"/>
    <w:rsid w:val="07155C37"/>
    <w:rsid w:val="09D347BB"/>
    <w:rsid w:val="0A6273E5"/>
    <w:rsid w:val="0A686BF6"/>
    <w:rsid w:val="0C760F26"/>
    <w:rsid w:val="0DD74424"/>
    <w:rsid w:val="107F4121"/>
    <w:rsid w:val="10C57C4D"/>
    <w:rsid w:val="11456604"/>
    <w:rsid w:val="117C2E73"/>
    <w:rsid w:val="11E9622E"/>
    <w:rsid w:val="12607728"/>
    <w:rsid w:val="126104A5"/>
    <w:rsid w:val="128B7370"/>
    <w:rsid w:val="13113C31"/>
    <w:rsid w:val="13C57FC2"/>
    <w:rsid w:val="13DD7ADC"/>
    <w:rsid w:val="13EB2DF0"/>
    <w:rsid w:val="144F5156"/>
    <w:rsid w:val="1767588B"/>
    <w:rsid w:val="18D538B0"/>
    <w:rsid w:val="18E032C2"/>
    <w:rsid w:val="19A277FE"/>
    <w:rsid w:val="1CCF110C"/>
    <w:rsid w:val="1D9456B0"/>
    <w:rsid w:val="1FA31533"/>
    <w:rsid w:val="213827F6"/>
    <w:rsid w:val="21796BC2"/>
    <w:rsid w:val="21B552CB"/>
    <w:rsid w:val="22BE0E76"/>
    <w:rsid w:val="23250B58"/>
    <w:rsid w:val="2483632E"/>
    <w:rsid w:val="25550C1E"/>
    <w:rsid w:val="25B05D49"/>
    <w:rsid w:val="28BF4190"/>
    <w:rsid w:val="2A706BB3"/>
    <w:rsid w:val="2A7C719C"/>
    <w:rsid w:val="2B926A7E"/>
    <w:rsid w:val="2C2B5641"/>
    <w:rsid w:val="2CB6067E"/>
    <w:rsid w:val="2CC66F08"/>
    <w:rsid w:val="2CCA094F"/>
    <w:rsid w:val="2E2B5E45"/>
    <w:rsid w:val="2E515D05"/>
    <w:rsid w:val="2FC02FA6"/>
    <w:rsid w:val="2FF745A3"/>
    <w:rsid w:val="316450AF"/>
    <w:rsid w:val="335115F0"/>
    <w:rsid w:val="3546366F"/>
    <w:rsid w:val="357070B5"/>
    <w:rsid w:val="376A3C4C"/>
    <w:rsid w:val="38FC7F68"/>
    <w:rsid w:val="39C175C6"/>
    <w:rsid w:val="3A754CC9"/>
    <w:rsid w:val="3BEA370A"/>
    <w:rsid w:val="3DCE3E6E"/>
    <w:rsid w:val="3E3A69A0"/>
    <w:rsid w:val="3ECD3124"/>
    <w:rsid w:val="3F9A003D"/>
    <w:rsid w:val="3FEA0343"/>
    <w:rsid w:val="432660EA"/>
    <w:rsid w:val="43A85CC8"/>
    <w:rsid w:val="475F4422"/>
    <w:rsid w:val="4874505C"/>
    <w:rsid w:val="49136AFE"/>
    <w:rsid w:val="49201968"/>
    <w:rsid w:val="49F977A4"/>
    <w:rsid w:val="4B6814D6"/>
    <w:rsid w:val="4BB905DA"/>
    <w:rsid w:val="4E0B709E"/>
    <w:rsid w:val="5039786D"/>
    <w:rsid w:val="507C62DD"/>
    <w:rsid w:val="50B20CEB"/>
    <w:rsid w:val="50D05599"/>
    <w:rsid w:val="51860D51"/>
    <w:rsid w:val="518C1C1F"/>
    <w:rsid w:val="55FE57CA"/>
    <w:rsid w:val="563C6D66"/>
    <w:rsid w:val="565C4B5A"/>
    <w:rsid w:val="578E37A1"/>
    <w:rsid w:val="58C76ABA"/>
    <w:rsid w:val="59CA59DA"/>
    <w:rsid w:val="5D6C7344"/>
    <w:rsid w:val="5EA551F5"/>
    <w:rsid w:val="61AF2FE3"/>
    <w:rsid w:val="63521D29"/>
    <w:rsid w:val="635B32B1"/>
    <w:rsid w:val="63AD5DD7"/>
    <w:rsid w:val="65B75B1D"/>
    <w:rsid w:val="65ED7F30"/>
    <w:rsid w:val="670B01C0"/>
    <w:rsid w:val="68045877"/>
    <w:rsid w:val="6A522671"/>
    <w:rsid w:val="6ACB22C2"/>
    <w:rsid w:val="6C3C39CA"/>
    <w:rsid w:val="6C6A0E2B"/>
    <w:rsid w:val="6C801864"/>
    <w:rsid w:val="6DE75FD7"/>
    <w:rsid w:val="6E615BFD"/>
    <w:rsid w:val="725268F2"/>
    <w:rsid w:val="745037BC"/>
    <w:rsid w:val="767C2482"/>
    <w:rsid w:val="78270946"/>
    <w:rsid w:val="78853E63"/>
    <w:rsid w:val="79367029"/>
    <w:rsid w:val="7A031D57"/>
    <w:rsid w:val="7A3613CA"/>
    <w:rsid w:val="7B3D3D71"/>
    <w:rsid w:val="7D2A54B9"/>
    <w:rsid w:val="7D887789"/>
    <w:rsid w:val="7FA61257"/>
    <w:rsid w:val="7FBC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2853</Words>
  <Characters>3005</Characters>
  <Lines>0</Lines>
  <Paragraphs>0</Paragraphs>
  <TotalTime>103</TotalTime>
  <ScaleCrop>false</ScaleCrop>
  <LinksUpToDate>false</LinksUpToDate>
  <CharactersWithSpaces>3172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艳子</cp:lastModifiedBy>
  <cp:lastPrinted>2023-05-05T02:12:00Z</cp:lastPrinted>
  <dcterms:modified xsi:type="dcterms:W3CDTF">2023-09-04T00:25:36Z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AB810C59E2894EE691622EC438F15754_13</vt:lpwstr>
  </property>
</Properties>
</file>