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部门整体支出绩效自评基础数据表</w:t>
      </w:r>
    </w:p>
    <w:tbl>
      <w:tblPr>
        <w:tblStyle w:val="7"/>
        <w:tblW w:w="918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533"/>
        <w:gridCol w:w="1168"/>
        <w:gridCol w:w="2372"/>
        <w:gridCol w:w="605"/>
        <w:gridCol w:w="567"/>
        <w:gridCol w:w="992"/>
        <w:gridCol w:w="349"/>
        <w:gridCol w:w="935"/>
        <w:gridCol w:w="490"/>
        <w:gridCol w:w="952"/>
        <w:gridCol w:w="37"/>
        <w:gridCol w:w="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8" w:type="dxa"/>
          <w:trHeight w:val="480" w:hRule="atLeast"/>
          <w:jc w:val="center"/>
        </w:trPr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2021</w:t>
            </w:r>
            <w:r>
              <w:rPr>
                <w:rFonts w:hint="eastAsia" w:ascii="黑体" w:hAnsi="黑体" w:eastAsia="黑体" w:cs="黑体"/>
                <w:sz w:val="24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696" w:hRule="exact"/>
          <w:jc w:val="center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单位名称（盖章）</w:t>
            </w:r>
          </w:p>
        </w:tc>
        <w:tc>
          <w:tcPr>
            <w:tcW w:w="7380" w:type="dxa"/>
            <w:gridSpan w:val="10"/>
            <w:vAlign w:val="top"/>
          </w:tcPr>
          <w:p>
            <w:pPr>
              <w:spacing w:line="54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隆回县三阁司镇人民政府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681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vAlign w:val="top"/>
          </w:tcPr>
          <w:p>
            <w:pPr>
              <w:spacing w:line="540" w:lineRule="exact"/>
              <w:ind w:firstLine="105" w:firstLineChars="50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152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实有人数</w:t>
            </w:r>
          </w:p>
        </w:tc>
        <w:tc>
          <w:tcPr>
            <w:tcW w:w="2844" w:type="dxa"/>
            <w:gridSpan w:val="6"/>
            <w:vAlign w:val="top"/>
          </w:tcPr>
          <w:p>
            <w:pPr>
              <w:spacing w:line="540" w:lineRule="exact"/>
              <w:ind w:firstLine="105" w:firstLineChars="50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2997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部门职能概述</w:t>
            </w:r>
          </w:p>
        </w:tc>
        <w:tc>
          <w:tcPr>
            <w:tcW w:w="7380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420" w:firstLineChars="200"/>
              <w:textAlignment w:val="auto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（一）党委工作职责：（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1）保证党的路线、方针、政策的坚决贯彻执行。（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2）保证监督职能。（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3）教育和管理职能。（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4）服从和服务于经济建设的职能。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(5)负责抓好本镇党建工作、群团工作、精神文明建设工作、新闻宣传工作。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(6)完成上级党委交办的其他工作任务。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(二）政府工作职责：（1）制定和组织实施经济、科技和社会发展计划,制定资源开技术改造和产业结构调整方案，组织指导好各业生产，搞好商品流通，协调好本行政区域与外地区的经济交流与合作，抓好招商引资、人才引进工作，不断培育市场体系，组织经济运行，促进经济发展。 （2）制定并组织实施本行政区域内的村镇建设规划，部署重点工程建设，地方道路建设及公共设施，水利设施的管理，负责土地、林木、水等自然资源和生态环境的保护，做好森林防火工作。</w:t>
            </w:r>
          </w:p>
          <w:p>
            <w:pPr>
              <w:snapToGrid w:val="0"/>
              <w:spacing w:line="520" w:lineRule="exact"/>
              <w:ind w:firstLine="420" w:firstLineChars="200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  <w:p>
            <w:pPr>
              <w:snapToGrid w:val="0"/>
              <w:spacing w:line="520" w:lineRule="exact"/>
              <w:ind w:firstLine="420" w:firstLineChars="200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  <w:p>
            <w:pPr>
              <w:snapToGrid w:val="0"/>
              <w:spacing w:line="520" w:lineRule="exact"/>
              <w:ind w:firstLine="420" w:firstLineChars="200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  <w:p>
            <w:pPr>
              <w:snapToGrid w:val="0"/>
              <w:spacing w:line="520" w:lineRule="exact"/>
              <w:ind w:firstLine="420" w:firstLineChars="200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  <w:p>
            <w:pPr>
              <w:snapToGrid w:val="0"/>
              <w:spacing w:line="520" w:lineRule="exact"/>
              <w:ind w:firstLine="420" w:firstLineChars="200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  <w:p>
            <w:pPr>
              <w:snapToGrid w:val="0"/>
              <w:spacing w:line="520" w:lineRule="exact"/>
              <w:ind w:firstLine="420" w:firstLineChars="200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  <w:p>
            <w:pPr>
              <w:snapToGrid w:val="0"/>
              <w:spacing w:line="520" w:lineRule="exact"/>
              <w:ind w:firstLine="420" w:firstLineChars="200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72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年度收入（万元）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4314.95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</w:t>
            </w:r>
          </w:p>
        </w:tc>
        <w:tc>
          <w:tcPr>
            <w:tcW w:w="935" w:type="dxa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070" w:type="dxa"/>
            <w:gridSpan w:val="3"/>
            <w:vMerge w:val="restart"/>
            <w:vAlign w:val="top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4314.95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55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其他收入</w:t>
            </w:r>
          </w:p>
        </w:tc>
        <w:tc>
          <w:tcPr>
            <w:tcW w:w="935" w:type="dxa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70" w:type="dxa"/>
            <w:gridSpan w:val="3"/>
            <w:vMerge w:val="continue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60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年度支出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3338.3</w:t>
            </w:r>
          </w:p>
        </w:tc>
        <w:tc>
          <w:tcPr>
            <w:tcW w:w="134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项目支出</w:t>
            </w:r>
          </w:p>
        </w:tc>
        <w:tc>
          <w:tcPr>
            <w:tcW w:w="935" w:type="dxa"/>
            <w:vMerge w:val="restar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976.65</w:t>
            </w:r>
          </w:p>
        </w:tc>
        <w:tc>
          <w:tcPr>
            <w:tcW w:w="490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07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4314.95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708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8.72</w:t>
            </w:r>
          </w:p>
        </w:tc>
        <w:tc>
          <w:tcPr>
            <w:tcW w:w="1341" w:type="dxa"/>
            <w:gridSpan w:val="2"/>
            <w:vMerge w:val="continue"/>
            <w:vAlign w:val="top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35" w:type="dxa"/>
            <w:vMerge w:val="continue"/>
            <w:vAlign w:val="top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7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85" w:hRule="exact"/>
          <w:jc w:val="center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实施情况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财政供养人员控制情况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是否存在超编超配人员：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127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三公经费管理情况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是否制定“三公”经费管理办法：是☑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招待费用是否明确招待标准和招待人数：是☑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是☑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三公经费是否比年度下降：是☑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860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非税收入完成情况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是☑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是否实行收支两条线管理：是☑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无☑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704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政府采购及金额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年度是否制定了政府采购计划：是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□否</w:t>
            </w:r>
          </w:p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应采购金额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　万元，实际采购金额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81" w:type="dxa"/>
          <w:cantSplit/>
          <w:trHeight w:val="1570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预算执行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否☑</w:t>
            </w:r>
            <w:r>
              <w:rPr>
                <w:rFonts w:ascii="楷体" w:hAnsi="楷体" w:eastAsia="楷体" w:cs="楷体"/>
                <w:szCs w:val="21"/>
              </w:rPr>
              <w:t xml:space="preserve">, </w:t>
            </w:r>
            <w:r>
              <w:rPr>
                <w:rFonts w:hint="eastAsia" w:ascii="楷体" w:hAnsi="楷体" w:eastAsia="楷体" w:cs="楷体"/>
                <w:szCs w:val="21"/>
              </w:rPr>
              <w:t>追加金额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否☑</w:t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结余金额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szCs w:val="21"/>
              </w:rPr>
              <w:t xml:space="preserve">:  </w:t>
            </w:r>
            <w:r>
              <w:rPr>
                <w:rFonts w:hint="eastAsia" w:ascii="楷体" w:hAnsi="楷体" w:eastAsia="楷体" w:cs="楷体"/>
                <w:szCs w:val="21"/>
              </w:rPr>
              <w:t>是☑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公开时间</w:t>
            </w:r>
            <w:r>
              <w:rPr>
                <w:rFonts w:ascii="楷体" w:hAnsi="楷体" w:eastAsia="楷体" w:cs="楷体"/>
                <w:szCs w:val="21"/>
              </w:rPr>
              <w:t xml:space="preserve">:  </w:t>
            </w:r>
            <w:r>
              <w:rPr>
                <w:rFonts w:hint="eastAsia" w:ascii="楷体" w:hAnsi="楷体" w:eastAsia="楷体" w:cs="楷体"/>
                <w:szCs w:val="21"/>
              </w:rPr>
              <w:t>年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月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日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公开方式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门户网站☑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单位内部□</w:t>
            </w:r>
            <w:r>
              <w:rPr>
                <w:rFonts w:ascii="楷体" w:hAnsi="楷体" w:eastAsia="楷体" w:cs="楷体"/>
                <w:szCs w:val="21"/>
              </w:rPr>
              <w:t xml:space="preserve">      </w:t>
            </w:r>
            <w:r>
              <w:rPr>
                <w:rFonts w:hint="eastAsia" w:ascii="楷体" w:hAnsi="楷体" w:eastAsia="楷体" w:cs="楷体"/>
                <w:szCs w:val="21"/>
              </w:rPr>
              <w:t>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81" w:type="dxa"/>
          <w:cantSplit/>
          <w:trHeight w:val="997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财务管理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是☑否□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是☑</w:t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81" w:type="dxa"/>
          <w:cantSplit/>
          <w:trHeight w:val="997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  <w:p>
            <w:pPr>
              <w:ind w:left="3885" w:hanging="3885" w:hangingChars="18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资金使用是否存在违规使用资金、乱发津补贴奖金现象：是□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81" w:type="dxa"/>
          <w:cantSplit/>
          <w:trHeight w:val="1280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是☑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资产是否产权清晰、两证齐全：是☑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是☑否□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81" w:type="dxa"/>
          <w:cantSplit/>
          <w:trHeight w:val="561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职责履行</w:t>
            </w:r>
          </w:p>
        </w:tc>
        <w:tc>
          <w:tcPr>
            <w:tcW w:w="7299" w:type="dxa"/>
            <w:gridSpan w:val="9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是☑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81" w:type="dxa"/>
          <w:trHeight w:val="1610" w:hRule="atLeast"/>
          <w:jc w:val="center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主要绩效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firstLine="420" w:firstLineChars="200"/>
              <w:textAlignment w:val="auto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default" w:ascii="楷体" w:hAnsi="楷体" w:eastAsia="楷体" w:cs="楷体"/>
                <w:szCs w:val="21"/>
                <w:lang w:val="en-US" w:eastAsia="zh-CN"/>
              </w:rPr>
              <w:t>总体来看，2021年财政预算执行情况较好，财政保障能力明显提高。“保工资、保运转、保民生”的能力明显增强。乡村振兴工作取得重大突破，农村基础设施建设更上新台阶，城市功能配套设施建设更加完善。</w:t>
            </w:r>
          </w:p>
          <w:p>
            <w:pPr>
              <w:ind w:firstLine="105" w:firstLineChars="50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81" w:type="dxa"/>
          <w:trHeight w:val="1000" w:hRule="atLeast"/>
          <w:jc w:val="center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自评结论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81" w:type="dxa"/>
          <w:trHeight w:val="1504" w:hRule="atLeast"/>
          <w:jc w:val="center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问题与建议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420" w:firstLineChars="200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default" w:ascii="楷体" w:hAnsi="楷体" w:eastAsia="楷体" w:cs="楷体"/>
                <w:szCs w:val="21"/>
              </w:rPr>
              <w:t>预算数和决算数存着较大差异，主要原因是多项重点工程开展，这些因素在做年初预算的时候并未出现。</w:t>
            </w:r>
            <w:r>
              <w:rPr>
                <w:rFonts w:hint="eastAsia" w:ascii="楷体" w:hAnsi="楷体" w:eastAsia="楷体" w:cs="楷体"/>
                <w:szCs w:val="21"/>
              </w:rPr>
              <w:t>预算执行过程中，年初预算估计不够准确，需要在以后的工作中多方位考虑经费的支出范围，提高年初预算的精度，更好的执行年初预算的安排。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81" w:type="dxa"/>
          <w:trHeight w:val="1974" w:hRule="atLeast"/>
          <w:jc w:val="center"/>
        </w:trPr>
        <w:tc>
          <w:tcPr>
            <w:tcW w:w="533" w:type="dxa"/>
            <w:vAlign w:val="top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主管部门意见</w:t>
            </w:r>
          </w:p>
        </w:tc>
        <w:tc>
          <w:tcPr>
            <w:tcW w:w="8467" w:type="dxa"/>
            <w:gridSpan w:val="10"/>
            <w:vAlign w:val="top"/>
          </w:tcPr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主管部门（盖章）：</w:t>
            </w:r>
          </w:p>
        </w:tc>
      </w:tr>
    </w:tbl>
    <w:p>
      <w:pPr>
        <w:rPr>
          <w:rFonts w:ascii="宋体"/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 w:ascii="宋体" w:hAnsi="宋体"/>
          <w:szCs w:val="21"/>
        </w:rPr>
        <w:t>填报人：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  <w:lang w:eastAsia="zh-CN"/>
        </w:rPr>
        <w:t>李宣儒</w:t>
      </w:r>
      <w:r>
        <w:rPr>
          <w:rFonts w:ascii="宋体" w:hAnsi="宋体"/>
          <w:szCs w:val="21"/>
        </w:rPr>
        <w:t xml:space="preserve">             </w:t>
      </w:r>
      <w:r>
        <w:rPr>
          <w:rFonts w:hint="eastAsia" w:ascii="宋体" w:hAnsi="宋体"/>
          <w:szCs w:val="21"/>
        </w:rPr>
        <w:t>联系电话：</w:t>
      </w:r>
      <w:r>
        <w:rPr>
          <w:rFonts w:hint="eastAsia" w:ascii="宋体" w:hAnsi="宋体"/>
          <w:szCs w:val="21"/>
          <w:lang w:val="en-US" w:eastAsia="zh-CN"/>
        </w:rPr>
        <w:t>17872287136</w:t>
      </w:r>
      <w:r>
        <w:rPr>
          <w:rFonts w:ascii="宋体" w:hAnsi="宋体"/>
          <w:szCs w:val="21"/>
        </w:rPr>
        <w:t xml:space="preserve">       </w:t>
      </w:r>
      <w:r>
        <w:rPr>
          <w:rFonts w:hint="eastAsia" w:ascii="宋体" w:hAnsi="宋体"/>
          <w:szCs w:val="21"/>
        </w:rPr>
        <w:t>时间：</w:t>
      </w:r>
      <w:r>
        <w:rPr>
          <w:rFonts w:hint="eastAsia" w:ascii="宋体" w:hAnsi="宋体"/>
          <w:szCs w:val="21"/>
          <w:lang w:val="en-US" w:eastAsia="zh-CN"/>
        </w:rPr>
        <w:t>2022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30</w:t>
      </w:r>
      <w:r>
        <w:rPr>
          <w:rFonts w:hint="eastAsia" w:ascii="宋体" w:hAnsi="宋体"/>
          <w:szCs w:val="21"/>
        </w:rPr>
        <w:t>日</w:t>
      </w:r>
    </w:p>
    <w:p>
      <w:pPr>
        <w:spacing w:line="560" w:lineRule="exact"/>
        <w:rPr>
          <w:rFonts w:eastAsia="黑体"/>
          <w:kern w:val="0"/>
        </w:rPr>
      </w:pPr>
      <w:r>
        <w:rPr>
          <w:rFonts w:hint="eastAsia" w:eastAsia="黑体"/>
          <w:kern w:val="0"/>
        </w:rPr>
        <w:t>注：自评结论填“优、良、中、差”。</w:t>
      </w:r>
    </w:p>
    <w:p>
      <w:pPr>
        <w:spacing w:line="560" w:lineRule="exact"/>
        <w:rPr>
          <w:rFonts w:eastAsia="黑体"/>
          <w:kern w:val="0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spacing w:line="600" w:lineRule="exact"/>
        <w:jc w:val="center"/>
      </w:pPr>
      <w:r>
        <w:rPr>
          <w:rFonts w:hint="eastAsia" w:ascii="黑体" w:hAnsi="黑体" w:eastAsia="黑体" w:cs="黑体"/>
          <w:b/>
          <w:bCs w:val="0"/>
          <w:kern w:val="0"/>
          <w:sz w:val="36"/>
          <w:szCs w:val="36"/>
        </w:rPr>
        <w:t>部门整体支出绩效自评报告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一、部门概况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（一）部门基本情况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阁司镇人民政府为乡镇一级机关单位，设6个内设机构、1个执法机构、3个直属事业单位，6个内设机构为：党政综合办公室、基层党建办公室、经济发展办公室、社会事务办公室、社会治安和应急管理办公室、自然资源和生态环境办公室；执法机构为综合执法大队；3个直属事业单位为社会事务综合服务中心、农业综合服务中心、政务服务中心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当年无变动。</w:t>
      </w:r>
    </w:p>
    <w:p>
      <w:pPr>
        <w:snapToGrid w:val="0"/>
        <w:spacing w:line="520" w:lineRule="exact"/>
        <w:ind w:firstLine="640" w:firstLineChars="200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人员情况，包括当年变动情况及原因。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三阁司镇人民政府</w:t>
      </w:r>
      <w:r>
        <w:rPr>
          <w:rFonts w:hint="eastAsia" w:ascii="仿宋_GB2312" w:hAnsi="仿宋" w:eastAsia="仿宋_GB2312"/>
          <w:sz w:val="32"/>
          <w:szCs w:val="32"/>
        </w:rPr>
        <w:t>人数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152</w:t>
      </w:r>
      <w:r>
        <w:rPr>
          <w:rFonts w:hint="eastAsia" w:ascii="仿宋_GB2312" w:hAnsi="仿宋" w:eastAsia="仿宋_GB2312"/>
          <w:sz w:val="32"/>
          <w:szCs w:val="32"/>
        </w:rPr>
        <w:t>人，实际人数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192</w:t>
      </w:r>
      <w:r>
        <w:rPr>
          <w:rFonts w:hint="eastAsia" w:ascii="仿宋_GB2312" w:hAnsi="仿宋" w:eastAsia="仿宋_GB2312"/>
          <w:sz w:val="32"/>
          <w:szCs w:val="32"/>
        </w:rPr>
        <w:t xml:space="preserve">人（其中，在职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152</w:t>
      </w:r>
      <w:r>
        <w:rPr>
          <w:rFonts w:hint="eastAsia" w:ascii="仿宋_GB2312" w:hAnsi="仿宋" w:eastAsia="仿宋_GB2312"/>
          <w:sz w:val="32"/>
          <w:szCs w:val="32"/>
        </w:rPr>
        <w:t>人，离退休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48</w:t>
      </w:r>
      <w:r>
        <w:rPr>
          <w:rFonts w:hint="eastAsia" w:ascii="仿宋_GB2312" w:hAnsi="仿宋" w:eastAsia="仿宋_GB2312"/>
          <w:sz w:val="32"/>
          <w:szCs w:val="32"/>
        </w:rPr>
        <w:t>人）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。与上年相比在职人数增加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9人，离退休人数减少1人,主要原因是换届人员流动。</w:t>
      </w:r>
    </w:p>
    <w:p>
      <w:pPr>
        <w:pStyle w:val="2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</w:t>
      </w:r>
      <w:r>
        <w:rPr>
          <w:rFonts w:hint="eastAsia" w:eastAsia="仿宋_GB2312"/>
          <w:sz w:val="32"/>
          <w:szCs w:val="32"/>
          <w:lang w:eastAsia="zh-CN"/>
        </w:rPr>
        <w:t>2021</w:t>
      </w:r>
      <w:r>
        <w:rPr>
          <w:rFonts w:hint="eastAsia" w:eastAsia="仿宋_GB2312"/>
          <w:sz w:val="32"/>
          <w:szCs w:val="32"/>
        </w:rPr>
        <w:t>年的重点工作</w:t>
      </w:r>
    </w:p>
    <w:p>
      <w:pPr>
        <w:pStyle w:val="2"/>
        <w:rPr>
          <w:rFonts w:hint="eastAsia"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Cs w:val="32"/>
        </w:rPr>
        <w:t>1.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着力抓好疫情防控，经济社会秩序稳定。</w:t>
      </w:r>
    </w:p>
    <w:p>
      <w:pPr>
        <w:pStyle w:val="2"/>
        <w:rPr>
          <w:rFonts w:hint="eastAsia"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Cs w:val="32"/>
        </w:rPr>
        <w:t>2.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着力抓好重点项目，经济发展平稳运行。</w:t>
      </w:r>
    </w:p>
    <w:p>
      <w:pPr>
        <w:pStyle w:val="2"/>
        <w:rPr>
          <w:rFonts w:hint="eastAsia" w:ascii="Times New Roman" w:hAnsi="Times New Roman" w:eastAsia="仿宋_GB2312" w:cs="Times New Roman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Cs w:val="32"/>
        </w:rPr>
        <w:t>3.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着力抓好民生工程，镇村面貌明显改善。</w:t>
      </w:r>
    </w:p>
    <w:p>
      <w:pPr>
        <w:pStyle w:val="2"/>
        <w:rPr>
          <w:rFonts w:hint="eastAsia" w:ascii="Times New Roman" w:hAnsi="Times New Roman" w:eastAsia="仿宋_GB2312" w:cs="Times New Roman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4.着力巩固脱贫成果，乡村振兴有效推进。</w:t>
      </w:r>
    </w:p>
    <w:p>
      <w:pPr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5.着力抓好基层党建，服务水平不断提升。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（三）部门整体支出情况</w:t>
      </w:r>
    </w:p>
    <w:p>
      <w:pPr>
        <w:pStyle w:val="2"/>
        <w:rPr>
          <w:rFonts w:hint="eastAsia" w:eastAsia="仿宋_GB2312"/>
          <w:szCs w:val="32"/>
          <w:lang w:val="en-US" w:eastAsia="zh-CN"/>
        </w:rPr>
      </w:pPr>
      <w:r>
        <w:rPr>
          <w:rFonts w:hint="eastAsia" w:eastAsia="仿宋_GB2312"/>
          <w:szCs w:val="32"/>
        </w:rPr>
        <w:t>2021年财政决算支出</w:t>
      </w:r>
      <w:r>
        <w:rPr>
          <w:rFonts w:hint="eastAsia" w:eastAsia="仿宋_GB2312"/>
          <w:szCs w:val="32"/>
          <w:lang w:val="en-US" w:eastAsia="zh-CN"/>
        </w:rPr>
        <w:t>4314.95</w:t>
      </w:r>
      <w:r>
        <w:rPr>
          <w:rFonts w:hint="eastAsia" w:eastAsia="仿宋_GB2312"/>
          <w:szCs w:val="32"/>
        </w:rPr>
        <w:t>万元</w:t>
      </w:r>
      <w:r>
        <w:rPr>
          <w:rFonts w:hint="eastAsia" w:eastAsia="仿宋_GB231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二、部门整体支出管理及使用情况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（一）基本支出情况</w:t>
      </w:r>
    </w:p>
    <w:p>
      <w:pPr>
        <w:pStyle w:val="2"/>
      </w:pPr>
      <w:r>
        <w:rPr>
          <w:rFonts w:hint="eastAsia" w:eastAsia="仿宋_GB2312"/>
          <w:sz w:val="32"/>
          <w:szCs w:val="32"/>
        </w:rPr>
        <w:t>基本支出：</w:t>
      </w:r>
      <w:r>
        <w:rPr>
          <w:rFonts w:hint="eastAsia" w:eastAsia="仿宋_GB2312"/>
          <w:sz w:val="32"/>
          <w:szCs w:val="32"/>
          <w:lang w:val="en-US" w:eastAsia="zh-CN"/>
        </w:rPr>
        <w:t>3338.3</w:t>
      </w:r>
      <w:r>
        <w:rPr>
          <w:rFonts w:hint="eastAsia" w:eastAsia="仿宋_GB2312"/>
          <w:sz w:val="32"/>
          <w:szCs w:val="32"/>
        </w:rPr>
        <w:t>万元，是指为保障单位机构正常运转、完成日常工作任务而发生的各项支出，包括用于基本工资、津贴补贴等人员经费以及办公费、印刷费、水电费及办公设备购置等日常公用经费。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项目支出情况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eastAsia="宋体"/>
          <w:lang w:eastAsia="zh-CN"/>
        </w:rPr>
      </w:pPr>
      <w:r>
        <w:rPr>
          <w:rFonts w:hint="eastAsia" w:eastAsia="仿宋_GB2312"/>
          <w:sz w:val="32"/>
          <w:szCs w:val="32"/>
        </w:rPr>
        <w:t>项目支出：</w:t>
      </w:r>
      <w:r>
        <w:rPr>
          <w:rFonts w:hint="eastAsia" w:eastAsia="仿宋_GB2312"/>
          <w:sz w:val="32"/>
          <w:szCs w:val="32"/>
          <w:lang w:val="en-US" w:eastAsia="zh-CN"/>
        </w:rPr>
        <w:t>976.65</w:t>
      </w:r>
      <w:r>
        <w:rPr>
          <w:rFonts w:hint="eastAsia" w:eastAsia="仿宋_GB2312"/>
          <w:sz w:val="32"/>
          <w:szCs w:val="32"/>
        </w:rPr>
        <w:t>万元，是指单位为完成选定行政工作或事业发展目标而发生的支出，包括有关事业发展专项、专项业务费、基本建设支出等。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经费情况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1</w:t>
      </w:r>
      <w:r>
        <w:rPr>
          <w:rFonts w:hint="eastAsia" w:eastAsia="仿宋_GB2312"/>
          <w:sz w:val="32"/>
          <w:szCs w:val="32"/>
        </w:rPr>
        <w:t>．因公出国（境）费用</w:t>
      </w:r>
    </w:p>
    <w:p>
      <w:pPr>
        <w:pStyle w:val="2"/>
        <w:ind w:firstLine="960" w:firstLineChars="300"/>
      </w:pPr>
      <w:r>
        <w:rPr>
          <w:rFonts w:hint="eastAsia" w:eastAsia="仿宋_GB2312"/>
          <w:szCs w:val="32"/>
          <w:lang w:val="en-US" w:eastAsia="zh-CN"/>
        </w:rPr>
        <w:t xml:space="preserve"> </w:t>
      </w:r>
      <w:r>
        <w:rPr>
          <w:rFonts w:hint="eastAsia" w:eastAsia="仿宋_GB2312"/>
          <w:szCs w:val="32"/>
        </w:rPr>
        <w:t>因公出国（境）费用0万元。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2</w:t>
      </w:r>
      <w:r>
        <w:rPr>
          <w:rFonts w:hint="eastAsia" w:eastAsia="仿宋_GB2312"/>
          <w:sz w:val="32"/>
          <w:szCs w:val="32"/>
        </w:rPr>
        <w:t>．公务接待费</w:t>
      </w:r>
    </w:p>
    <w:p>
      <w:pPr>
        <w:pStyle w:val="2"/>
        <w:ind w:firstLine="960" w:firstLineChars="300"/>
      </w:pPr>
      <w:r>
        <w:rPr>
          <w:rFonts w:hint="eastAsia" w:eastAsia="仿宋_GB2312"/>
          <w:szCs w:val="32"/>
          <w:lang w:val="en-US" w:eastAsia="zh-CN"/>
        </w:rPr>
        <w:t xml:space="preserve"> </w:t>
      </w:r>
      <w:r>
        <w:rPr>
          <w:rFonts w:hint="eastAsia" w:eastAsia="仿宋_GB2312"/>
          <w:szCs w:val="32"/>
        </w:rPr>
        <w:t>2021年我单位公务接待费为</w:t>
      </w:r>
      <w:r>
        <w:rPr>
          <w:rFonts w:hint="eastAsia" w:eastAsia="仿宋_GB2312"/>
          <w:szCs w:val="32"/>
          <w:lang w:val="en-US" w:eastAsia="zh-CN"/>
        </w:rPr>
        <w:t>5</w:t>
      </w:r>
      <w:r>
        <w:rPr>
          <w:rFonts w:hint="eastAsia" w:eastAsia="仿宋_GB231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3</w:t>
      </w:r>
      <w:r>
        <w:rPr>
          <w:rFonts w:hint="eastAsia" w:eastAsia="仿宋_GB2312"/>
          <w:sz w:val="32"/>
          <w:szCs w:val="32"/>
        </w:rPr>
        <w:t>．公务用车购置及运行费</w:t>
      </w:r>
    </w:p>
    <w:p>
      <w:pPr>
        <w:pStyle w:val="2"/>
      </w:pPr>
      <w:r>
        <w:rPr>
          <w:rFonts w:hint="eastAsia" w:eastAsia="仿宋_GB2312"/>
          <w:szCs w:val="32"/>
          <w:lang w:val="en-US" w:eastAsia="zh-CN"/>
        </w:rPr>
        <w:t xml:space="preserve">   </w:t>
      </w:r>
      <w:r>
        <w:rPr>
          <w:rFonts w:hint="eastAsia" w:eastAsia="仿宋_GB2312"/>
          <w:szCs w:val="32"/>
        </w:rPr>
        <w:t>2021年我单位公务用车购置及运行费为</w:t>
      </w:r>
      <w:r>
        <w:rPr>
          <w:rFonts w:hint="eastAsia" w:eastAsia="仿宋_GB2312"/>
          <w:szCs w:val="32"/>
          <w:lang w:val="en-US" w:eastAsia="zh-CN"/>
        </w:rPr>
        <w:t>3.72</w:t>
      </w:r>
      <w:r>
        <w:rPr>
          <w:rFonts w:hint="eastAsia" w:eastAsia="仿宋_GB2312"/>
          <w:szCs w:val="32"/>
        </w:rPr>
        <w:t>万元</w:t>
      </w:r>
      <w:r>
        <w:rPr>
          <w:rFonts w:hint="eastAsia" w:eastAsia="仿宋_GB231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部门整体支出绩效情况</w:t>
      </w:r>
    </w:p>
    <w:p>
      <w:pPr>
        <w:pStyle w:val="2"/>
        <w:ind w:firstLine="640"/>
        <w:rPr>
          <w:rFonts w:eastAsia="仿宋_GB2312"/>
          <w:szCs w:val="32"/>
        </w:rPr>
      </w:pPr>
      <w:r>
        <w:rPr>
          <w:rFonts w:hint="eastAsia" w:eastAsia="仿宋_GB2312"/>
          <w:szCs w:val="32"/>
        </w:rPr>
        <w:t>财务管理制度建设情况：资金拨付严格按程序申报、审批，合理合规使用资金，确保财政资金安全。</w:t>
      </w:r>
    </w:p>
    <w:p>
      <w:pPr>
        <w:pStyle w:val="2"/>
        <w:ind w:firstLine="640"/>
        <w:rPr>
          <w:rFonts w:eastAsia="仿宋_GB2312"/>
          <w:szCs w:val="32"/>
        </w:rPr>
      </w:pPr>
      <w:r>
        <w:rPr>
          <w:rFonts w:hint="eastAsia" w:eastAsia="仿宋_GB2312"/>
          <w:szCs w:val="32"/>
        </w:rPr>
        <w:t>资产管理：及时按照要求报送资产情况报表，确保各项资产核算准确、帐实相符、管理到位。</w:t>
      </w:r>
    </w:p>
    <w:p>
      <w:pPr>
        <w:pStyle w:val="2"/>
        <w:ind w:firstLine="640"/>
        <w:rPr>
          <w:rFonts w:eastAsia="仿宋_GB2312"/>
          <w:szCs w:val="32"/>
        </w:rPr>
      </w:pPr>
      <w:r>
        <w:rPr>
          <w:rFonts w:hint="eastAsia" w:eastAsia="仿宋_GB2312"/>
          <w:szCs w:val="32"/>
        </w:rPr>
        <w:t>预决算公开：及时在县人民政府门户网站上进行了预决算公开。“三公经费”控制情况：能严格遵守各项规章制度，严控“三公”经费支出，并及时在县人民政府门户网站上对“三公”经费情况进行公示。</w:t>
      </w:r>
    </w:p>
    <w:p>
      <w:pPr>
        <w:pStyle w:val="2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eastAsia="仿宋_GB2312"/>
          <w:szCs w:val="32"/>
        </w:rPr>
        <w:t>认真履行职责，及时报送财政供养信息、存量资金等有关资料及报表。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存在的问题</w:t>
      </w: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及其改进措施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</w:rPr>
      </w:pPr>
      <w:r>
        <w:rPr>
          <w:rFonts w:hint="default" w:ascii="仿宋_GB2312" w:hAnsi="仿宋" w:eastAsia="仿宋_GB2312"/>
          <w:sz w:val="32"/>
          <w:szCs w:val="32"/>
        </w:rPr>
        <w:t>预算数和决算数存着较大差异，主要原因是多项重点工程开展，这些因素在做年初预算的时候并未出现。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预算执行过程中，年初预算估计不够准确，需要在以后的工作中多方位考虑经费的支出范围，提高年初预算的精度，更好的执行年初预算的安排。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隆回县三阁司镇人民政府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         2022年04月30日</w:t>
      </w: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</w:p>
    <w:p/>
    <w:p/>
    <w:p/>
    <w:sectPr>
      <w:headerReference r:id="rId3" w:type="default"/>
      <w:footerReference r:id="rId4" w:type="default"/>
      <w:footerReference r:id="rId5" w:type="even"/>
      <w:pgSz w:w="11905" w:h="16837"/>
      <w:pgMar w:top="1418" w:right="1588" w:bottom="1418" w:left="1588" w:header="720" w:footer="1701" w:gutter="0"/>
      <w:pgNumType w:fmt="numberInDash"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utch766 BT">
    <w:altName w:val="Times New Roman"/>
    <w:panose1 w:val="02030603060505020403"/>
    <w:charset w:val="00"/>
    <w:family w:val="roman"/>
    <w:pitch w:val="default"/>
    <w:sig w:usb0="00000000" w:usb1="00000000" w:usb2="00000000" w:usb3="00000000" w:csb0="0000001B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74E723"/>
    <w:multiLevelType w:val="singleLevel"/>
    <w:tmpl w:val="6274E723"/>
    <w:lvl w:ilvl="0" w:tentative="0">
      <w:start w:val="2"/>
      <w:numFmt w:val="chineseCounting"/>
      <w:suff w:val="nothing"/>
      <w:lvlText w:val="（%1）"/>
      <w:lvlJc w:val="left"/>
    </w:lvl>
  </w:abstractNum>
  <w:abstractNum w:abstractNumId="1">
    <w:nsid w:val="6275C7D6"/>
    <w:multiLevelType w:val="singleLevel"/>
    <w:tmpl w:val="6275C7D6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2OTA2ZDgwZWE5YTQxYWM2YTcxZjgwNzJhOWE4ODMifQ=="/>
  </w:docVars>
  <w:rsids>
    <w:rsidRoot w:val="18D538B0"/>
    <w:rsid w:val="01600BAC"/>
    <w:rsid w:val="018E17F6"/>
    <w:rsid w:val="031E1070"/>
    <w:rsid w:val="036E0048"/>
    <w:rsid w:val="09D347BB"/>
    <w:rsid w:val="0A686BF6"/>
    <w:rsid w:val="0D0504FC"/>
    <w:rsid w:val="0D5A546F"/>
    <w:rsid w:val="0E3F3C9B"/>
    <w:rsid w:val="117C2E73"/>
    <w:rsid w:val="11E9622E"/>
    <w:rsid w:val="12607728"/>
    <w:rsid w:val="13113C31"/>
    <w:rsid w:val="13C57FC2"/>
    <w:rsid w:val="13EB2DF0"/>
    <w:rsid w:val="1767588B"/>
    <w:rsid w:val="18D538B0"/>
    <w:rsid w:val="18E032C2"/>
    <w:rsid w:val="199145EF"/>
    <w:rsid w:val="1CCF110C"/>
    <w:rsid w:val="1E391DB3"/>
    <w:rsid w:val="21B552CB"/>
    <w:rsid w:val="23BD45F2"/>
    <w:rsid w:val="2483632E"/>
    <w:rsid w:val="24D17495"/>
    <w:rsid w:val="25072D7F"/>
    <w:rsid w:val="25B05D49"/>
    <w:rsid w:val="2A706BB3"/>
    <w:rsid w:val="2C2B5641"/>
    <w:rsid w:val="2E2B5E45"/>
    <w:rsid w:val="2E515D05"/>
    <w:rsid w:val="2FC02FA6"/>
    <w:rsid w:val="2FF745A3"/>
    <w:rsid w:val="316450AF"/>
    <w:rsid w:val="335115F0"/>
    <w:rsid w:val="338B4A07"/>
    <w:rsid w:val="35372381"/>
    <w:rsid w:val="3546366F"/>
    <w:rsid w:val="357070B5"/>
    <w:rsid w:val="38FC7F68"/>
    <w:rsid w:val="3A754CC9"/>
    <w:rsid w:val="3BEA370A"/>
    <w:rsid w:val="3ECD3124"/>
    <w:rsid w:val="3F3811B0"/>
    <w:rsid w:val="3F7B1DD4"/>
    <w:rsid w:val="3F9A003D"/>
    <w:rsid w:val="40F164D7"/>
    <w:rsid w:val="43F461DB"/>
    <w:rsid w:val="45F61EE3"/>
    <w:rsid w:val="475F4422"/>
    <w:rsid w:val="4874505C"/>
    <w:rsid w:val="49136AFE"/>
    <w:rsid w:val="49201968"/>
    <w:rsid w:val="4AB50890"/>
    <w:rsid w:val="4B9E2406"/>
    <w:rsid w:val="4BB905DA"/>
    <w:rsid w:val="4E0B709E"/>
    <w:rsid w:val="50687996"/>
    <w:rsid w:val="507C62DD"/>
    <w:rsid w:val="552525F2"/>
    <w:rsid w:val="55A776E1"/>
    <w:rsid w:val="55CF2ECB"/>
    <w:rsid w:val="563C6D66"/>
    <w:rsid w:val="565C4B5A"/>
    <w:rsid w:val="56F03878"/>
    <w:rsid w:val="578E37A1"/>
    <w:rsid w:val="58C76ABA"/>
    <w:rsid w:val="5A420AF5"/>
    <w:rsid w:val="5ED874CD"/>
    <w:rsid w:val="62426844"/>
    <w:rsid w:val="635B32B1"/>
    <w:rsid w:val="63AD5DD7"/>
    <w:rsid w:val="65ED7F30"/>
    <w:rsid w:val="683B0D4C"/>
    <w:rsid w:val="6A522671"/>
    <w:rsid w:val="6ABF49BB"/>
    <w:rsid w:val="6ACB22C2"/>
    <w:rsid w:val="6C6A0E2B"/>
    <w:rsid w:val="6C801864"/>
    <w:rsid w:val="6E615BFD"/>
    <w:rsid w:val="701C1D54"/>
    <w:rsid w:val="73742238"/>
    <w:rsid w:val="73B9228F"/>
    <w:rsid w:val="767C2482"/>
    <w:rsid w:val="777D3C34"/>
    <w:rsid w:val="77BA09E4"/>
    <w:rsid w:val="78853E63"/>
    <w:rsid w:val="78EC749C"/>
    <w:rsid w:val="794D2C6A"/>
    <w:rsid w:val="7A3613CA"/>
    <w:rsid w:val="7D2A54B9"/>
    <w:rsid w:val="7DA92FC2"/>
    <w:rsid w:val="7FA6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2273</Words>
  <Characters>2380</Characters>
  <Lines>0</Lines>
  <Paragraphs>0</Paragraphs>
  <TotalTime>7</TotalTime>
  <ScaleCrop>false</ScaleCrop>
  <LinksUpToDate>false</LinksUpToDate>
  <CharactersWithSpaces>2614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2021-04-19T07:48:00Z</dcterms:created>
  <dc:creator>彭礼孝</dc:creator>
  <cp:lastModifiedBy>木子</cp:lastModifiedBy>
  <cp:lastPrinted>2022-04-15T09:18:00Z</cp:lastPrinted>
  <dcterms:modified xsi:type="dcterms:W3CDTF">2022-05-09T01:52:09Z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FC4AD5B48165493FADE0A0374E14E380</vt:lpwstr>
  </property>
</Properties>
</file>