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关于《隆回县优化营商环境攻坚行动方案》的解读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黑体" w:hAnsi="Helvetica" w:eastAsia="黑体" w:cs="Helvetica"/>
          <w:color w:val="333333"/>
          <w:sz w:val="32"/>
          <w:szCs w:val="32"/>
        </w:rPr>
      </w:pPr>
      <w:r>
        <w:rPr>
          <w:rFonts w:hint="eastAsia" w:ascii="黑体" w:hAnsi="Helvetica" w:eastAsia="黑体" w:cs="Helvetica"/>
          <w:color w:val="333333"/>
          <w:sz w:val="32"/>
          <w:szCs w:val="32"/>
        </w:rPr>
        <w:t>一、基本情况</w:t>
      </w:r>
    </w:p>
    <w:p>
      <w:pPr>
        <w:tabs>
          <w:tab w:val="left" w:pos="0"/>
        </w:tabs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营商环境是一个地方政治生态、社会生态的综合反映，也是一个地区软实力的重要体现。今年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月，省委、省政府印发《湖南省优化营商环境攻坚行动方案》（湘政办发〔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2021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〕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18号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），对优化营商环境工作作出具体安排部署。</w:t>
      </w:r>
      <w:r>
        <w:rPr>
          <w:rFonts w:hint="eastAsia" w:ascii="宋体" w:hAnsi="宋体" w:eastAsia="仿宋_GB2312"/>
          <w:sz w:val="32"/>
          <w:szCs w:val="32"/>
        </w:rPr>
        <w:t>为深入贯彻习近平总书记考察湖南重要讲话精神，全面落实国省以及市委市政府关于优化营商环境决策部署，着力营造政务服务更加智慧高效、市场环境更加公开透明、要素保障更加坚实有力、法治环境更加公平正义的营商环境高地，促进我</w:t>
      </w:r>
      <w:r>
        <w:rPr>
          <w:rFonts w:hint="eastAsia" w:ascii="宋体" w:hAnsi="宋体" w:eastAsia="仿宋_GB2312"/>
          <w:sz w:val="32"/>
          <w:szCs w:val="32"/>
          <w:lang w:eastAsia="zh-CN"/>
        </w:rPr>
        <w:t>县</w:t>
      </w:r>
      <w:r>
        <w:rPr>
          <w:rFonts w:hint="eastAsia" w:ascii="宋体" w:hAnsi="宋体" w:eastAsia="仿宋_GB2312"/>
          <w:sz w:val="32"/>
          <w:szCs w:val="32"/>
        </w:rPr>
        <w:t>经济社会高质量发展，为推动“三高四新”战略落实、建设“</w:t>
      </w:r>
      <w:r>
        <w:rPr>
          <w:rFonts w:hint="eastAsia" w:ascii="宋体" w:hAnsi="宋体" w:eastAsia="仿宋_GB2312"/>
          <w:sz w:val="32"/>
          <w:szCs w:val="32"/>
          <w:lang w:eastAsia="zh-CN"/>
        </w:rPr>
        <w:t>二</w:t>
      </w:r>
      <w:r>
        <w:rPr>
          <w:rFonts w:hint="eastAsia" w:ascii="宋体" w:hAnsi="宋体" w:eastAsia="仿宋_GB2312"/>
          <w:sz w:val="32"/>
          <w:szCs w:val="32"/>
        </w:rPr>
        <w:t>中心一枢纽”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、奋力实施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“三宜三融三区”战略提供有力支撑</w:t>
      </w:r>
      <w:r>
        <w:rPr>
          <w:rFonts w:hint="eastAsia" w:ascii="宋体" w:hAnsi="宋体" w:eastAsia="仿宋_GB2312"/>
          <w:sz w:val="32"/>
          <w:szCs w:val="32"/>
        </w:rPr>
        <w:t>。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我县于今年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9月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出台《隆回县优化营商环境攻坚行动方案》（以下简称《攻坚方案》），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紧紧围绕审批最简、服务最优、门槛最低、材料最少、效率最高、费用最省、监管最严的省内一流营商环境，确保我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在2021年国省营商环境评价中争先进位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rPr>
          <w:rFonts w:hint="eastAsia" w:eastAsia="仿宋_GB2312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黑体" w:hAnsi="Helvetica" w:eastAsia="黑体" w:cs="Helvetica"/>
          <w:color w:val="333333"/>
          <w:sz w:val="32"/>
          <w:szCs w:val="32"/>
        </w:rPr>
      </w:pPr>
      <w:r>
        <w:rPr>
          <w:rFonts w:hint="eastAsia" w:ascii="黑体" w:hAnsi="Helvetica" w:eastAsia="黑体" w:cs="Helvetica"/>
          <w:color w:val="333333"/>
          <w:sz w:val="32"/>
          <w:szCs w:val="32"/>
        </w:rPr>
        <w:t>二、规范性文件的起草过程</w:t>
      </w:r>
    </w:p>
    <w:p>
      <w:pPr>
        <w:pStyle w:val="4"/>
        <w:tabs>
          <w:tab w:val="left" w:pos="0"/>
        </w:tabs>
        <w:spacing w:after="0" w:line="576" w:lineRule="exact"/>
        <w:ind w:firstLine="640" w:firstLineChars="200"/>
        <w:rPr>
          <w:rFonts w:hint="eastAsia" w:ascii="仿宋_GB2312" w:hAnsi="Helvetica" w:eastAsia="仿宋_GB2312" w:cs="Helvetica"/>
          <w:color w:val="333333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根据省委、省政府印发《湖南省优化营商环境攻坚行动方案》（湘政办发〔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2021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〕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18号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）和市政府起草的《邵阳市优化营商环境攻坚行动方案》（草案），我局于202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年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7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月下旬着手起草《攻坚方案》，报县政府第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X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次常务会议研究通过，于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8月26日经政府秘书组、县法制办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审核，报分管领导邓印强审批，代县长杨韶辉审签。经县政府文印室印发至有关单位。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黑体" w:hAnsi="Helvetica" w:eastAsia="黑体" w:cs="Helvetica"/>
          <w:color w:val="333333"/>
          <w:sz w:val="32"/>
          <w:szCs w:val="32"/>
        </w:rPr>
      </w:pPr>
      <w:r>
        <w:rPr>
          <w:rFonts w:hint="eastAsia" w:ascii="黑体" w:hAnsi="Helvetica" w:eastAsia="黑体" w:cs="Helvetica"/>
          <w:color w:val="333333"/>
          <w:sz w:val="32"/>
          <w:szCs w:val="32"/>
          <w:lang w:eastAsia="zh-CN"/>
        </w:rPr>
        <w:t>三、</w:t>
      </w:r>
      <w:r>
        <w:rPr>
          <w:rFonts w:hint="eastAsia" w:ascii="黑体" w:hAnsi="Helvetica" w:eastAsia="黑体" w:cs="Helvetica"/>
          <w:color w:val="333333"/>
          <w:sz w:val="32"/>
          <w:szCs w:val="32"/>
        </w:rPr>
        <w:t>规范性文件制定依据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/>
        <w:ind w:right="0" w:rightChars="0"/>
        <w:rPr>
          <w:rFonts w:hint="eastAsia" w:ascii="黑体" w:hAnsi="Helvetica" w:eastAsia="黑体" w:cs="Helvetica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《湖南省优化营商环境攻坚行动方案》</w:t>
      </w:r>
      <w:r>
        <w:rPr>
          <w:rFonts w:hint="eastAsia" w:ascii="黑体" w:hAnsi="Helvetica" w:eastAsia="黑体" w:cs="Helvetica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湘政办发〔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〕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18号</w:t>
      </w:r>
      <w:r>
        <w:rPr>
          <w:rFonts w:hint="eastAsia" w:ascii="黑体" w:hAnsi="Helvetica" w:eastAsia="黑体" w:cs="Helvetica"/>
          <w:color w:val="333333"/>
          <w:sz w:val="32"/>
          <w:szCs w:val="32"/>
          <w:lang w:eastAsia="zh-CN"/>
        </w:rPr>
        <w:t>）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/>
        <w:ind w:right="0" w:rightChars="0"/>
        <w:rPr>
          <w:rFonts w:hint="eastAsia" w:ascii="仿宋_GB2312" w:hAnsi="仿宋_GB2312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Times New Roman"/>
          <w:sz w:val="28"/>
          <w:szCs w:val="28"/>
          <w:lang w:val="en-US" w:eastAsia="zh-CN"/>
        </w:rPr>
        <w:t>邵阳市2021年优化营商环境攻坚行动方案（草案）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》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/>
        <w:ind w:right="0" w:rightChars="0" w:firstLine="640" w:firstLineChars="200"/>
        <w:rPr>
          <w:rFonts w:hint="eastAsia" w:ascii="黑体" w:hAnsi="Helvetica" w:eastAsia="黑体" w:cs="Helvetica"/>
          <w:color w:val="333333"/>
          <w:sz w:val="32"/>
          <w:szCs w:val="32"/>
        </w:rPr>
      </w:pPr>
      <w:r>
        <w:rPr>
          <w:rFonts w:hint="eastAsia" w:ascii="黑体" w:hAnsi="Helvetica" w:eastAsia="黑体" w:cs="Helvetica"/>
          <w:color w:val="333333"/>
          <w:sz w:val="32"/>
          <w:szCs w:val="32"/>
        </w:rPr>
        <w:t>四、规范性文件的主要内容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00" w:leftChars="0" w:firstLine="0" w:firstLineChars="0"/>
        <w:textAlignment w:val="auto"/>
        <w:rPr>
          <w:rFonts w:hint="eastAsia" w:ascii="仿宋_GB2312" w:hAnsi="Helvetica" w:eastAsia="仿宋_GB2312" w:cs="Helvetica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333333"/>
          <w:kern w:val="2"/>
          <w:sz w:val="32"/>
          <w:szCs w:val="32"/>
          <w:lang w:val="en-US" w:eastAsia="zh-CN" w:bidi="ar-SA"/>
        </w:rPr>
        <w:t>总体目标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576" w:lineRule="exact"/>
        <w:ind w:left="800" w:leftChars="0" w:firstLine="0" w:firstLineChars="0"/>
        <w:rPr>
          <w:rFonts w:hint="eastAsia" w:ascii="仿宋_GB2312" w:hAnsi="Helvetica" w:eastAsia="仿宋_GB2312" w:cs="Helvetica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333333"/>
          <w:kern w:val="2"/>
          <w:sz w:val="32"/>
          <w:szCs w:val="32"/>
          <w:lang w:val="en-US" w:eastAsia="zh-CN" w:bidi="ar-SA"/>
        </w:rPr>
        <w:t>主要任务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576" w:lineRule="exact"/>
        <w:ind w:left="800" w:leftChars="0" w:firstLine="0" w:firstLineChars="0"/>
        <w:rPr>
          <w:rFonts w:hint="eastAsia" w:ascii="仿宋_GB2312" w:hAnsi="Helvetica" w:eastAsia="仿宋_GB2312" w:cs="Helvetica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333333"/>
          <w:kern w:val="2"/>
          <w:sz w:val="32"/>
          <w:szCs w:val="32"/>
          <w:lang w:val="en-US" w:eastAsia="zh-CN" w:bidi="ar-SA"/>
        </w:rPr>
        <w:t>组织保障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90" w:leftChars="0" w:right="0" w:rightChars="0"/>
        <w:rPr>
          <w:rFonts w:hint="eastAsia" w:ascii="仿宋_GB2312" w:hAnsi="Helvetica" w:eastAsia="仿宋_GB2312" w:cs="Helvetica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333333"/>
          <w:kern w:val="2"/>
          <w:sz w:val="32"/>
          <w:szCs w:val="32"/>
          <w:lang w:val="en-US" w:eastAsia="zh-CN" w:bidi="ar-SA"/>
        </w:rPr>
        <w:t xml:space="preserve">      1、加强组织领导。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90" w:leftChars="0" w:right="0" w:rightChars="0" w:firstLine="960" w:firstLineChars="300"/>
        <w:rPr>
          <w:rFonts w:hint="eastAsia" w:ascii="仿宋_GB2312" w:hAnsi="Helvetica" w:eastAsia="仿宋_GB2312" w:cs="Helvetica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333333"/>
          <w:kern w:val="2"/>
          <w:sz w:val="32"/>
          <w:szCs w:val="32"/>
          <w:lang w:val="en-US" w:eastAsia="zh-CN" w:bidi="ar-SA"/>
        </w:rPr>
        <w:t>2、强化责任落实。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90" w:leftChars="0" w:right="0" w:rightChars="0" w:firstLine="960" w:firstLineChars="300"/>
        <w:rPr>
          <w:rFonts w:hint="eastAsia" w:ascii="仿宋_GB2312" w:hAnsi="Helvetica" w:eastAsia="仿宋_GB2312" w:cs="Helvetica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333333"/>
          <w:kern w:val="2"/>
          <w:sz w:val="32"/>
          <w:szCs w:val="32"/>
          <w:lang w:val="en-US" w:eastAsia="zh-CN" w:bidi="ar-SA"/>
        </w:rPr>
        <w:t>3、加强舆论宣传。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90" w:leftChars="0" w:right="0" w:rightChars="0" w:firstLine="960" w:firstLineChars="300"/>
        <w:rPr>
          <w:rFonts w:hint="eastAsia" w:ascii="仿宋_GB2312" w:hAnsi="Helvetica" w:eastAsia="仿宋_GB2312" w:cs="Helvetica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333333"/>
          <w:kern w:val="2"/>
          <w:sz w:val="32"/>
          <w:szCs w:val="32"/>
          <w:lang w:val="en-US" w:eastAsia="zh-CN" w:bidi="ar-SA"/>
        </w:rPr>
        <w:t>4.严格督查督办。</w:t>
      </w:r>
    </w:p>
    <w:p>
      <w:pPr>
        <w:jc w:val="both"/>
        <w:rPr>
          <w:rFonts w:hint="eastAsia" w:ascii="方正小标宋简体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仿宋_GB2312" w:cs="方正小标宋简体"/>
          <w:sz w:val="44"/>
          <w:szCs w:val="44"/>
          <w:lang w:val="en-US" w:eastAsia="zh-CN"/>
        </w:rPr>
        <w:t xml:space="preserve"> </w:t>
      </w:r>
    </w:p>
    <w:p>
      <w:pPr>
        <w:pStyle w:val="2"/>
        <w:jc w:val="center"/>
        <w:rPr>
          <w:rFonts w:hint="eastAsia" w:ascii="宋体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theme="minorBidi"/>
          <w:kern w:val="2"/>
          <w:sz w:val="32"/>
          <w:szCs w:val="32"/>
          <w:lang w:val="en-US" w:eastAsia="zh-CN" w:bidi="ar-SA"/>
        </w:rPr>
        <w:t xml:space="preserve">                               隆回县发展和改革局</w:t>
      </w:r>
    </w:p>
    <w:p>
      <w:pPr>
        <w:pStyle w:val="2"/>
        <w:jc w:val="center"/>
        <w:rPr>
          <w:rFonts w:hint="default" w:ascii="宋体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theme="minorBidi"/>
          <w:kern w:val="2"/>
          <w:sz w:val="32"/>
          <w:szCs w:val="32"/>
          <w:lang w:val="en-US" w:eastAsia="zh-CN" w:bidi="ar-SA"/>
        </w:rPr>
        <w:t xml:space="preserve">                               2021年9月8日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22DAD8"/>
    <w:multiLevelType w:val="singleLevel"/>
    <w:tmpl w:val="E622DAD8"/>
    <w:lvl w:ilvl="0" w:tentative="0">
      <w:start w:val="1"/>
      <w:numFmt w:val="chineseCounting"/>
      <w:suff w:val="nothing"/>
      <w:lvlText w:val="%1、"/>
      <w:lvlJc w:val="left"/>
      <w:pPr>
        <w:ind w:left="8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02EA"/>
    <w:rsid w:val="00AB00D7"/>
    <w:rsid w:val="0EAB52D3"/>
    <w:rsid w:val="10B32974"/>
    <w:rsid w:val="15680FE3"/>
    <w:rsid w:val="1BE7108E"/>
    <w:rsid w:val="1DD41250"/>
    <w:rsid w:val="306803A1"/>
    <w:rsid w:val="34B65365"/>
    <w:rsid w:val="3F0B7CEE"/>
    <w:rsid w:val="452D4F0E"/>
    <w:rsid w:val="46A65E4C"/>
    <w:rsid w:val="47D07EED"/>
    <w:rsid w:val="487F69FB"/>
    <w:rsid w:val="4EE73DE2"/>
    <w:rsid w:val="567C67AB"/>
    <w:rsid w:val="62F625EA"/>
    <w:rsid w:val="63AD39A9"/>
    <w:rsid w:val="69DC03D8"/>
    <w:rsid w:val="767D09AB"/>
    <w:rsid w:val="77CC79CA"/>
    <w:rsid w:val="78EF00D6"/>
    <w:rsid w:val="7C3902E6"/>
    <w:rsid w:val="7D8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  <w:pPr>
      <w:jc w:val="both"/>
      <w:textAlignment w:val="baseline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100" w:firstLineChars="1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2021-09-15T01:49:00Z</dcterms:created>
  <dc:creator>Administrator</dc:creator>
  <cp:lastModifiedBy>演示人</cp:lastModifiedBy>
  <dcterms:modified xsi:type="dcterms:W3CDTF">2021-11-25T09:32:11Z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18C5EBB0F066461BA5FC59FC8CE93CFC</vt:lpwstr>
  </property>
</Properties>
</file>