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b w:val="0"/>
          <w:color w:val="auto"/>
          <w:sz w:val="24"/>
          <w:szCs w:val="24"/>
          <w:lang w:val="en-US" w:eastAsia="zh-CN"/>
        </w:rPr>
      </w:pPr>
      <w:r>
        <w:rPr>
          <w:rFonts w:hint="eastAsia" w:ascii="黑体" w:hAnsi="黑体" w:eastAsia="黑体" w:cs="黑体"/>
          <w:b w:val="0"/>
          <w:color w:val="auto"/>
          <w:sz w:val="24"/>
          <w:szCs w:val="24"/>
          <w:lang w:val="en-US" w:eastAsia="zh-CN"/>
        </w:rPr>
        <w:t>LHDR-2021-01002</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b w:val="0"/>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val="0"/>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2560" w:firstLineChars="800"/>
        <w:jc w:val="both"/>
        <w:textAlignment w:val="auto"/>
        <w:rPr>
          <w:rFonts w:ascii="仿宋" w:hAnsi="仿宋" w:eastAsia="仿宋" w:cs="仿宋"/>
          <w:b w:val="0"/>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ascii="华文仿宋" w:hAnsi="华文仿宋" w:eastAsia="华文仿宋"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cs="黑体"/>
          <w:b w:val="0"/>
          <w:bCs/>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华文仿宋" w:hAnsi="华文仿宋" w:eastAsia="华文仿宋" w:cs="黑体"/>
          <w:b w:val="0"/>
          <w:bCs/>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ascii="华文仿宋" w:hAnsi="华文仿宋" w:eastAsia="华文仿宋" w:cs="黑体"/>
          <w:b w:val="0"/>
          <w:bCs/>
          <w:color w:val="auto"/>
          <w:sz w:val="32"/>
          <w:szCs w:val="32"/>
        </w:rPr>
      </w:pPr>
      <w:r>
        <w:rPr>
          <w:rFonts w:ascii="华文仿宋" w:hAnsi="华文仿宋" w:eastAsia="华文仿宋" w:cs="黑体"/>
          <w:b w:val="0"/>
          <w:bCs/>
          <w:color w:val="auto"/>
          <w:sz w:val="32"/>
          <w:szCs w:val="32"/>
        </w:rPr>
        <w:t>隆政办发〔2021〕</w:t>
      </w:r>
      <w:r>
        <w:rPr>
          <w:rFonts w:hint="eastAsia" w:ascii="华文仿宋" w:hAnsi="华文仿宋" w:eastAsia="华文仿宋" w:cs="黑体"/>
          <w:b w:val="0"/>
          <w:bCs/>
          <w:color w:val="auto"/>
          <w:sz w:val="32"/>
          <w:szCs w:val="32"/>
          <w:lang w:val="en-US" w:eastAsia="zh-CN"/>
        </w:rPr>
        <w:t>13</w:t>
      </w:r>
      <w:r>
        <w:rPr>
          <w:rFonts w:ascii="华文仿宋" w:hAnsi="华文仿宋" w:eastAsia="华文仿宋" w:cs="黑体"/>
          <w:b w:val="0"/>
          <w:bCs/>
          <w:color w:val="auto"/>
          <w:sz w:val="32"/>
          <w:szCs w:val="32"/>
        </w:rPr>
        <w:t>号</w:t>
      </w:r>
    </w:p>
    <w:p>
      <w:pPr>
        <w:keepNext w:val="0"/>
        <w:keepLines w:val="0"/>
        <w:pageBreakBefore w:val="0"/>
        <w:kinsoku/>
        <w:wordWrap/>
        <w:overflowPunct/>
        <w:topLinePunct w:val="0"/>
        <w:autoSpaceDE/>
        <w:autoSpaceDN/>
        <w:bidi w:val="0"/>
        <w:adjustRightInd/>
        <w:snapToGrid/>
        <w:spacing w:line="600" w:lineRule="exact"/>
        <w:textAlignment w:val="auto"/>
        <w:rPr>
          <w:color w:val="auto"/>
        </w:rPr>
      </w:pP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Autospacing="0" w:afterAutospacing="0" w:line="70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隆回县人民政府办公室</w:t>
      </w:r>
    </w:p>
    <w:p>
      <w:pPr>
        <w:pStyle w:val="2"/>
        <w:keepNext w:val="0"/>
        <w:keepLines w:val="0"/>
        <w:pageBreakBefore w:val="0"/>
        <w:widowControl/>
        <w:kinsoku/>
        <w:wordWrap/>
        <w:overflowPunct/>
        <w:topLinePunct w:val="0"/>
        <w:autoSpaceDE/>
        <w:autoSpaceDN/>
        <w:bidi w:val="0"/>
        <w:adjustRightInd/>
        <w:snapToGrid/>
        <w:spacing w:beforeAutospacing="0" w:afterAutospacing="0" w:line="700" w:lineRule="exact"/>
        <w:jc w:val="center"/>
        <w:textAlignment w:val="auto"/>
        <w:rPr>
          <w:rFonts w:hint="default" w:ascii="黑体" w:hAnsi="黑体" w:eastAsia="黑体" w:cs="黑体"/>
          <w:bCs/>
          <w:color w:val="auto"/>
          <w:sz w:val="44"/>
          <w:szCs w:val="44"/>
        </w:rPr>
      </w:pPr>
      <w:r>
        <w:rPr>
          <w:rFonts w:hint="eastAsia" w:ascii="方正小标宋_GBK" w:hAnsi="方正小标宋_GBK" w:eastAsia="方正小标宋_GBK" w:cs="方正小标宋_GBK"/>
          <w:b w:val="0"/>
          <w:bCs/>
          <w:color w:val="auto"/>
          <w:sz w:val="44"/>
          <w:szCs w:val="44"/>
        </w:rPr>
        <w:t>关于政府性融资担保体系支持小微企业、“三农”和战略性新兴产业发展的实施意见</w:t>
      </w:r>
    </w:p>
    <w:p>
      <w:pPr>
        <w:pStyle w:val="2"/>
        <w:widowControl/>
        <w:spacing w:beforeAutospacing="0" w:afterAutospacing="0" w:line="560" w:lineRule="exact"/>
        <w:jc w:val="center"/>
        <w:rPr>
          <w:rFonts w:hint="default" w:ascii="仿宋" w:hAnsi="仿宋" w:eastAsia="仿宋" w:cs="仿宋"/>
          <w:b w:val="0"/>
          <w:color w:val="auto"/>
          <w:sz w:val="32"/>
          <w:szCs w:val="32"/>
        </w:rPr>
      </w:pPr>
      <w:r>
        <w:rPr>
          <w:rFonts w:ascii="仿宋" w:hAnsi="仿宋" w:eastAsia="仿宋" w:cs="仿宋"/>
          <w:b w:val="0"/>
          <w:color w:val="auto"/>
          <w:sz w:val="32"/>
          <w:szCs w:val="32"/>
        </w:rPr>
        <w:t xml:space="preserve">                                                                                                                                                                                                                                                                                                                                                                                                                                                                                                                                                                                                                                          </w:t>
      </w:r>
      <w:r>
        <w:rPr>
          <w:color w:val="auto"/>
        </w:rPr>
        <w:fldChar w:fldCharType="begin"/>
      </w:r>
      <w:r>
        <w:rPr>
          <w:color w:val="auto"/>
        </w:rPr>
        <w:instrText xml:space="preserve"> HYPERLINK "http://www.yueyang.gov.cn/zcfg2/javascript:void(0);" \o "分享到朋友网" </w:instrText>
      </w:r>
      <w:r>
        <w:rPr>
          <w:color w:val="auto"/>
        </w:rPr>
        <w:fldChar w:fldCharType="separate"/>
      </w:r>
      <w:r>
        <w:rPr>
          <w:color w:val="auto"/>
        </w:rPr>
        <w:fldChar w:fldCharType="end"/>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ascii="仿宋" w:hAnsi="仿宋" w:eastAsia="仿宋" w:cs="仿宋"/>
          <w:color w:val="auto"/>
          <w:sz w:val="32"/>
          <w:szCs w:val="32"/>
        </w:rPr>
      </w:pPr>
      <w:r>
        <w:rPr>
          <w:rFonts w:ascii="仿宋" w:hAnsi="仿宋" w:eastAsia="仿宋" w:cs="仿宋"/>
          <w:color w:val="auto"/>
          <w:sz w:val="32"/>
          <w:szCs w:val="32"/>
        </w:rPr>
        <w:t>各乡镇人民政府、街道办事处</w:t>
      </w:r>
      <w:r>
        <w:rPr>
          <w:rFonts w:hint="eastAsia" w:ascii="仿宋" w:hAnsi="仿宋" w:eastAsia="仿宋" w:cs="仿宋"/>
          <w:color w:val="auto"/>
          <w:sz w:val="32"/>
          <w:szCs w:val="32"/>
          <w:lang w:eastAsia="zh-CN"/>
        </w:rPr>
        <w:t>，</w:t>
      </w:r>
      <w:r>
        <w:rPr>
          <w:rFonts w:ascii="仿宋" w:hAnsi="仿宋" w:eastAsia="仿宋" w:cs="仿宋"/>
          <w:color w:val="auto"/>
          <w:sz w:val="32"/>
          <w:szCs w:val="32"/>
        </w:rPr>
        <w:t>县直机关单位：</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default" w:ascii="华文仿宋" w:hAnsi="华文仿宋" w:eastAsia="华文仿宋" w:cs="黑体"/>
          <w:b w:val="0"/>
          <w:bCs/>
          <w:color w:val="auto"/>
          <w:sz w:val="32"/>
          <w:szCs w:val="32"/>
        </w:rPr>
      </w:pPr>
      <w:r>
        <w:rPr>
          <w:rFonts w:ascii="华文仿宋" w:hAnsi="华文仿宋" w:eastAsia="华文仿宋" w:cs="仿宋"/>
          <w:b w:val="0"/>
          <w:color w:val="auto"/>
          <w:sz w:val="32"/>
          <w:szCs w:val="32"/>
        </w:rPr>
        <w:t xml:space="preserve">   为贯彻落实</w:t>
      </w:r>
      <w:r>
        <w:rPr>
          <w:rFonts w:hint="eastAsia" w:ascii="华文仿宋" w:hAnsi="华文仿宋" w:eastAsia="华文仿宋" w:cs="仿宋"/>
          <w:b w:val="0"/>
          <w:color w:val="auto"/>
          <w:sz w:val="32"/>
          <w:szCs w:val="32"/>
          <w:lang w:eastAsia="zh-CN"/>
        </w:rPr>
        <w:t>《</w:t>
      </w:r>
      <w:r>
        <w:rPr>
          <w:rFonts w:ascii="华文仿宋" w:hAnsi="华文仿宋" w:eastAsia="华文仿宋" w:cs="黑体"/>
          <w:b w:val="0"/>
          <w:bCs/>
          <w:color w:val="auto"/>
          <w:sz w:val="32"/>
          <w:szCs w:val="32"/>
        </w:rPr>
        <w:t>湖南省人民政府办公厅关于政府性融资担保体系支持小微企业、“三农”和战略性新兴产业发展的实施意见</w:t>
      </w:r>
      <w:r>
        <w:rPr>
          <w:rFonts w:hint="eastAsia" w:ascii="华文仿宋" w:hAnsi="华文仿宋" w:eastAsia="华文仿宋" w:cs="黑体"/>
          <w:b w:val="0"/>
          <w:bCs/>
          <w:color w:val="auto"/>
          <w:sz w:val="32"/>
          <w:szCs w:val="32"/>
          <w:lang w:eastAsia="zh-CN"/>
        </w:rPr>
        <w:t>》</w:t>
      </w:r>
      <w:r>
        <w:rPr>
          <w:rFonts w:ascii="华文仿宋" w:hAnsi="华文仿宋" w:eastAsia="华文仿宋" w:cs="黑体"/>
          <w:b w:val="0"/>
          <w:bCs/>
          <w:color w:val="auto"/>
          <w:sz w:val="32"/>
          <w:szCs w:val="32"/>
        </w:rPr>
        <w:t>（</w:t>
      </w:r>
      <w:r>
        <w:rPr>
          <w:rFonts w:ascii="华文仿宋" w:hAnsi="华文仿宋" w:eastAsia="华文仿宋" w:cs="仿宋"/>
          <w:b w:val="0"/>
          <w:color w:val="auto"/>
          <w:sz w:val="32"/>
          <w:szCs w:val="32"/>
        </w:rPr>
        <w:t>湘政办发〔2019〕64号）</w:t>
      </w:r>
      <w:r>
        <w:rPr>
          <w:rFonts w:ascii="华文仿宋" w:hAnsi="华文仿宋" w:eastAsia="华文仿宋" w:cs="仿宋"/>
          <w:b w:val="0"/>
          <w:color w:val="auto"/>
          <w:sz w:val="32"/>
          <w:szCs w:val="32"/>
        </w:rPr>
        <w:t>精神，进一步发挥政府性融资担保体系支持小微企业、“三农”和战略性新兴产业（以下简称支小支农支新）发展的作用，经县人民政府同意，制定本意见。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一、加强政府性融资担保体系建设</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华文仿宋" w:hAnsi="华文仿宋" w:eastAsia="华文仿宋" w:cs="仿宋"/>
          <w:color w:val="auto"/>
          <w:sz w:val="32"/>
          <w:szCs w:val="32"/>
        </w:rPr>
      </w:pPr>
      <w:r>
        <w:rPr>
          <w:rFonts w:hint="eastAsia" w:ascii="楷体" w:hAnsi="楷体" w:eastAsia="楷体" w:cs="楷体"/>
          <w:b/>
          <w:bCs/>
          <w:color w:val="auto"/>
          <w:kern w:val="2"/>
          <w:sz w:val="32"/>
          <w:szCs w:val="32"/>
          <w:lang w:val="en-US" w:eastAsia="zh-CN" w:bidi="ar-SA"/>
        </w:rPr>
        <w:t>（一）加强政府性融资担保公司建设。</w:t>
      </w:r>
      <w:r>
        <w:rPr>
          <w:rFonts w:hint="eastAsia" w:ascii="华文仿宋" w:hAnsi="华文仿宋" w:eastAsia="华文仿宋" w:cs="仿宋"/>
          <w:color w:val="auto"/>
          <w:sz w:val="32"/>
          <w:szCs w:val="32"/>
        </w:rPr>
        <w:t>支持隆回县中小企业融资担保有限责任公司做大做强。县中小企业融资担保有限责任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hint="eastAsia" w:ascii="华文仿宋" w:hAnsi="华文仿宋" w:eastAsia="华文仿宋" w:cs="仿宋"/>
          <w:color w:val="auto"/>
          <w:sz w:val="32"/>
          <w:szCs w:val="32"/>
        </w:rPr>
        <w:sectPr>
          <w:footerReference r:id="rId3" w:type="default"/>
          <w:pgSz w:w="11906" w:h="16838"/>
          <w:pgMar w:top="1701" w:right="1417" w:bottom="1417" w:left="1417" w:header="851" w:footer="850" w:gutter="0"/>
          <w:pgNumType w:fmt="numberInDash" w:start="2"/>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ascii="华文仿宋" w:hAnsi="华文仿宋" w:eastAsia="华文仿宋" w:cs="仿宋"/>
          <w:color w:val="auto"/>
          <w:sz w:val="32"/>
          <w:szCs w:val="32"/>
        </w:rPr>
      </w:pPr>
      <w:r>
        <w:rPr>
          <w:rFonts w:hint="eastAsia" w:ascii="华文仿宋" w:hAnsi="华文仿宋" w:eastAsia="华文仿宋" w:cs="仿宋"/>
          <w:color w:val="auto"/>
          <w:sz w:val="32"/>
          <w:szCs w:val="32"/>
        </w:rPr>
        <w:t>公司要切实提升自身经营管理水平和风险控制能力，聚焦主业主责，不得为追求稳定回报而偏离主业，发挥好政府性融资担保公司增信、分险、规范、引领作用。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华文仿宋" w:hAnsi="华文仿宋" w:eastAsia="华文仿宋" w:cs="仿宋"/>
          <w:color w:val="auto"/>
          <w:sz w:val="32"/>
          <w:szCs w:val="32"/>
        </w:rPr>
      </w:pPr>
      <w:r>
        <w:rPr>
          <w:rFonts w:hint="eastAsia" w:ascii="楷体" w:hAnsi="楷体" w:eastAsia="楷体" w:cs="楷体"/>
          <w:b/>
          <w:bCs/>
          <w:color w:val="auto"/>
          <w:kern w:val="2"/>
          <w:sz w:val="32"/>
          <w:szCs w:val="32"/>
          <w:lang w:val="en-US" w:eastAsia="zh-CN" w:bidi="ar-SA"/>
        </w:rPr>
        <w:t>（二）坚持主业主责。</w:t>
      </w:r>
      <w:r>
        <w:rPr>
          <w:rFonts w:hint="eastAsia" w:ascii="华文仿宋" w:hAnsi="华文仿宋" w:eastAsia="华文仿宋" w:cs="仿宋"/>
          <w:color w:val="auto"/>
          <w:sz w:val="32"/>
          <w:szCs w:val="32"/>
        </w:rPr>
        <w:t>县中小企业融资担保有限责任公司聚焦小微企业、个体工商户、农户、新型农业经营主体等小微企业和“三农”主体，以及符合条件的战略性新兴产业企业，不得偏离主业盲目扩大业务范围。坚持保本微利运行，在可持续经营的前提下，保持较低费率水平。</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华文仿宋" w:hAnsi="华文仿宋" w:eastAsia="华文仿宋" w:cs="仿宋"/>
          <w:color w:val="auto"/>
          <w:sz w:val="32"/>
          <w:szCs w:val="32"/>
        </w:rPr>
      </w:pPr>
      <w:r>
        <w:rPr>
          <w:rFonts w:hint="eastAsia" w:ascii="楷体" w:hAnsi="楷体" w:eastAsia="楷体" w:cs="楷体"/>
          <w:b/>
          <w:bCs/>
          <w:color w:val="auto"/>
          <w:kern w:val="2"/>
          <w:sz w:val="32"/>
          <w:szCs w:val="32"/>
          <w:lang w:val="en-US" w:eastAsia="zh-CN" w:bidi="ar-SA"/>
        </w:rPr>
        <w:t>（三）聚焦重点对象。</w:t>
      </w:r>
      <w:r>
        <w:rPr>
          <w:rFonts w:hint="eastAsia" w:ascii="华文仿宋" w:hAnsi="华文仿宋" w:eastAsia="华文仿宋" w:cs="仿宋"/>
          <w:color w:val="auto"/>
          <w:sz w:val="32"/>
          <w:szCs w:val="32"/>
        </w:rPr>
        <w:t>重点支持单户担保金额500万元及以下的小微企业、“三农”主体和战略性新兴产业企业。支小支农支新担保金额占全部担保金额的比例不低于80%，其中单户担保金额500万元及以下的占比不低于50%。</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20"/>
        <w:jc w:val="both"/>
        <w:textAlignment w:val="auto"/>
        <w:rPr>
          <w:rFonts w:ascii="华文仿宋" w:hAnsi="华文仿宋" w:eastAsia="华文仿宋" w:cs="仿宋"/>
          <w:color w:val="auto"/>
          <w:sz w:val="32"/>
          <w:szCs w:val="32"/>
        </w:rPr>
      </w:pPr>
      <w:r>
        <w:rPr>
          <w:rFonts w:hint="eastAsia" w:ascii="华文仿宋" w:hAnsi="华文仿宋" w:eastAsia="华文仿宋" w:cs="仿宋"/>
          <w:color w:val="auto"/>
          <w:sz w:val="32"/>
          <w:szCs w:val="32"/>
        </w:rPr>
        <w:t>县人民政府严格履行10%的分险责任，在风险可控前提下简化风险代偿专项资金使用流程。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二、降低融资成本</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华文仿宋" w:hAnsi="华文仿宋" w:eastAsia="华文仿宋" w:cs="仿宋"/>
          <w:color w:val="auto"/>
          <w:sz w:val="32"/>
          <w:szCs w:val="32"/>
        </w:rPr>
      </w:pPr>
      <w:r>
        <w:rPr>
          <w:rFonts w:hint="eastAsia" w:ascii="楷体" w:hAnsi="楷体" w:eastAsia="楷体" w:cs="楷体"/>
          <w:b/>
          <w:bCs/>
          <w:color w:val="auto"/>
          <w:kern w:val="2"/>
          <w:sz w:val="32"/>
          <w:szCs w:val="32"/>
          <w:lang w:val="en-US" w:eastAsia="zh-CN" w:bidi="ar-SA"/>
        </w:rPr>
        <w:t>（四）强化降费让利。</w:t>
      </w:r>
      <w:r>
        <w:rPr>
          <w:rFonts w:hint="eastAsia" w:ascii="华文仿宋" w:hAnsi="华文仿宋" w:eastAsia="华文仿宋" w:cs="仿宋"/>
          <w:color w:val="auto"/>
          <w:sz w:val="32"/>
          <w:szCs w:val="32"/>
        </w:rPr>
        <w:t>县中小企业融资担保有限责任公司对支小支农支新业务，单户担保金额500万元及以下收取的担保费率原则上不高于1%，对单户担保金额500万元以上收取的担保费率原则上不高于1.5%。</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（五）规范收费行为。</w:t>
      </w:r>
      <w:r>
        <w:rPr>
          <w:rFonts w:hint="eastAsia" w:ascii="仿宋" w:hAnsi="仿宋" w:eastAsia="仿宋" w:cs="仿宋"/>
          <w:color w:val="auto"/>
          <w:sz w:val="32"/>
          <w:szCs w:val="32"/>
        </w:rPr>
        <w:t>对小微企业、“三农”和战略性新兴产业企业，除贷款利息和担保费外，不得以保证金、承诺费、咨询费、顾问费、注册费、资料费等名义收取不合理费用，避免加重企业负担。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三、提升服务能力</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（六）提高服务水平。</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要针对小微企业、“三农”主体和战略性新兴产业企业的信用状况和个性化融资需求，提供融资规划、贷款申请、担保手续等方面的专业辅导，不断增强融资服务能力，提高小微企业、“三农”主体和战略性新兴产业企业融资便利度，加快完善信用评价和风险防控体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（七）防止风险转嫁。</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要严格审核有银行贷款记录的小微企业、“三农”主体和战略性新兴产业企业的担保申请，防止银行业金融机构将应由自身承担的贷款风险转由融资担保机构承担，避免占用有限的担保资源，增加综合融资成本。</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四、加大政策支持力度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sz w:val="32"/>
          <w:szCs w:val="32"/>
        </w:rPr>
        <w:t>（八）建立可持续的资本金增加机制。</w:t>
      </w:r>
      <w:r>
        <w:rPr>
          <w:rFonts w:hint="eastAsia" w:ascii="仿宋" w:hAnsi="仿宋" w:eastAsia="仿宋" w:cs="仿宋"/>
          <w:color w:val="auto"/>
          <w:sz w:val="32"/>
          <w:szCs w:val="32"/>
        </w:rPr>
        <w:t>县人民政府将根据</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业务发展实际情况，制定科学合理的资本金增加机制，确保其可持续发展。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420"/>
        <w:jc w:val="both"/>
        <w:textAlignment w:val="auto"/>
        <w:rPr>
          <w:rFonts w:ascii="仿宋" w:hAnsi="仿宋" w:eastAsia="仿宋" w:cs="仿宋"/>
          <w:color w:val="auto"/>
          <w:sz w:val="32"/>
          <w:szCs w:val="32"/>
        </w:rPr>
      </w:pPr>
      <w:r>
        <w:rPr>
          <w:rFonts w:hint="eastAsia" w:ascii="楷体" w:hAnsi="楷体" w:eastAsia="楷体" w:cs="楷体"/>
          <w:b/>
          <w:bCs/>
          <w:color w:val="auto"/>
          <w:sz w:val="32"/>
          <w:szCs w:val="32"/>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(九）设立代偿补偿专项资金。</w:t>
      </w:r>
      <w:r>
        <w:rPr>
          <w:rFonts w:hint="eastAsia" w:ascii="仿宋" w:hAnsi="仿宋" w:eastAsia="仿宋" w:cs="仿宋"/>
          <w:color w:val="auto"/>
          <w:sz w:val="32"/>
          <w:szCs w:val="32"/>
        </w:rPr>
        <w:t>县人民政府按照</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上年末在保余额的0.5%安排代偿补偿专项资金，实行差额提取。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ascii="仿宋" w:hAnsi="仿宋" w:eastAsia="仿宋" w:cs="仿宋"/>
          <w:color w:val="auto"/>
          <w:sz w:val="32"/>
          <w:szCs w:val="32"/>
        </w:rPr>
      </w:pPr>
      <w:r>
        <w:rPr>
          <w:rFonts w:hint="eastAsia" w:ascii="楷体" w:hAnsi="楷体" w:eastAsia="楷体" w:cs="楷体"/>
          <w:b/>
          <w:bCs/>
          <w:color w:val="auto"/>
          <w:sz w:val="32"/>
          <w:szCs w:val="32"/>
        </w:rPr>
        <w:t>（十）建立担保费补贴及业务奖励机制。</w:t>
      </w:r>
      <w:r>
        <w:rPr>
          <w:rFonts w:hint="eastAsia" w:ascii="仿宋" w:hAnsi="仿宋" w:eastAsia="仿宋" w:cs="仿宋"/>
          <w:color w:val="auto"/>
          <w:sz w:val="32"/>
          <w:szCs w:val="32"/>
        </w:rPr>
        <w:t>县人民政府建立政府性融资担保公司保费补贴机制，单户担保金额500万元及以下、担保费率不超过1%的新增支小支农支新融资担保业务，由县财政部门按照0.5%的标准给予担保费补贴。对政</w:t>
      </w:r>
      <w:r>
        <w:rPr>
          <w:rFonts w:hint="eastAsia" w:ascii="仿宋" w:hAnsi="仿宋" w:eastAsia="仿宋" w:cs="仿宋"/>
          <w:color w:val="auto"/>
          <w:sz w:val="32"/>
          <w:szCs w:val="32"/>
          <w:lang w:eastAsia="zh-CN"/>
        </w:rPr>
        <w:t>府</w:t>
      </w:r>
      <w:r>
        <w:rPr>
          <w:rFonts w:hint="eastAsia" w:ascii="仿宋" w:hAnsi="仿宋" w:eastAsia="仿宋" w:cs="仿宋"/>
          <w:color w:val="auto"/>
          <w:sz w:val="32"/>
          <w:szCs w:val="32"/>
        </w:rPr>
        <w:t>性融资担保公司在扩大支小支农支新融资担保业务规模及首次融资担保业务、降低融资担保成本成效明显的予以奖励。</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五、完善保障机制</w:t>
      </w:r>
    </w:p>
    <w:p>
      <w:pPr>
        <w:keepNext w:val="0"/>
        <w:keepLines w:val="0"/>
        <w:pageBreakBefore w:val="0"/>
        <w:widowControl w:val="0"/>
        <w:kinsoku/>
        <w:overflowPunct/>
        <w:topLinePunct w:val="0"/>
        <w:autoSpaceDE/>
        <w:autoSpaceDN/>
        <w:bidi w:val="0"/>
        <w:adjustRightInd/>
        <w:snapToGrid/>
        <w:spacing w:line="550" w:lineRule="exact"/>
        <w:ind w:firstLine="643"/>
        <w:textAlignment w:val="auto"/>
        <w:rPr>
          <w:rFonts w:ascii="仿宋" w:hAnsi="仿宋" w:eastAsia="仿宋" w:cs="仿宋"/>
          <w:color w:val="auto"/>
          <w:sz w:val="32"/>
          <w:szCs w:val="32"/>
        </w:rPr>
      </w:pPr>
      <w:r>
        <w:rPr>
          <w:rFonts w:hint="eastAsia" w:ascii="楷体" w:hAnsi="楷体" w:eastAsia="楷体" w:cs="楷体"/>
          <w:b/>
          <w:bCs/>
          <w:color w:val="auto"/>
          <w:sz w:val="32"/>
          <w:szCs w:val="32"/>
        </w:rPr>
        <w:t>（十一）营造良好的发展环境。</w:t>
      </w:r>
      <w:r>
        <w:rPr>
          <w:rFonts w:hint="eastAsia" w:ascii="仿宋" w:hAnsi="仿宋" w:eastAsia="仿宋" w:cs="仿宋"/>
          <w:color w:val="auto"/>
          <w:sz w:val="32"/>
          <w:szCs w:val="32"/>
        </w:rPr>
        <w:t>县人民政府将积极推进社会信用体系建设，强化守信激励和失信惩戒，严厉打击逃废债行为，为小微企业、“三农”主体和战略性新兴产业企业融资，营造良好信用环境；维护</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的独立市场主体地位，不得干预其日常经营决策；完善风险预警和应急处置机制，切实加强区域风险防控。</w:t>
      </w:r>
    </w:p>
    <w:p>
      <w:pPr>
        <w:keepNext w:val="0"/>
        <w:keepLines w:val="0"/>
        <w:pageBreakBefore w:val="0"/>
        <w:widowControl w:val="0"/>
        <w:kinsoku/>
        <w:overflowPunct/>
        <w:topLinePunct w:val="0"/>
        <w:autoSpaceDE/>
        <w:autoSpaceDN/>
        <w:bidi w:val="0"/>
        <w:adjustRightInd/>
        <w:snapToGrid/>
        <w:spacing w:line="550" w:lineRule="exact"/>
        <w:ind w:firstLine="643"/>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（十二）部门联动。</w:t>
      </w:r>
      <w:r>
        <w:rPr>
          <w:rFonts w:hint="eastAsia" w:ascii="仿宋" w:hAnsi="仿宋" w:eastAsia="仿宋" w:cs="仿宋"/>
          <w:color w:val="auto"/>
          <w:sz w:val="32"/>
          <w:szCs w:val="32"/>
        </w:rPr>
        <w:t>县财政部门对政府出资组建的</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履行出资人职责，督促</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建立现代企业制度，完善法人治理结构，加强风险管理，可根据本地实际及机构特点，制定科学合理的绩效考核管理办法。税务部门要落实国家支持</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发展的税收减免优惠等政策，进一步优化税收减免办理流程。公安、司法部门要支持做好</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债权保护和追偿工作，确保</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的合法权益。自然资源、住房城乡建设、公安、交通运输、市场监管、科技、农业农村等部门要按金融机构的相关政策办理房产、土地、车辆、船舶、设备以及其他动产、股权、知识产权等抵押物登记和出质登记，并按照国家相关规定对办理过程中的相关费用实行减免。人民银行要积极推动符合条件的</w:t>
      </w:r>
      <w:r>
        <w:rPr>
          <w:rFonts w:hint="eastAsia" w:ascii="华文仿宋" w:hAnsi="华文仿宋" w:eastAsia="华文仿宋" w:cs="仿宋"/>
          <w:color w:val="auto"/>
          <w:sz w:val="32"/>
          <w:szCs w:val="32"/>
        </w:rPr>
        <w:t>县中小企业融资担保有限责任公司</w:t>
      </w:r>
      <w:r>
        <w:rPr>
          <w:rFonts w:hint="eastAsia" w:ascii="仿宋" w:hAnsi="仿宋" w:eastAsia="仿宋" w:cs="仿宋"/>
          <w:color w:val="auto"/>
          <w:sz w:val="32"/>
          <w:szCs w:val="32"/>
        </w:rPr>
        <w:t>接入金融信用信息基础数据库。</w:t>
      </w:r>
    </w:p>
    <w:p>
      <w:pPr>
        <w:keepNext w:val="0"/>
        <w:keepLines w:val="0"/>
        <w:pageBreakBefore w:val="0"/>
        <w:widowControl w:val="0"/>
        <w:kinsoku/>
        <w:overflowPunct/>
        <w:topLinePunct w:val="0"/>
        <w:autoSpaceDE/>
        <w:autoSpaceDN/>
        <w:bidi w:val="0"/>
        <w:adjustRightInd/>
        <w:snapToGrid/>
        <w:spacing w:line="550" w:lineRule="exact"/>
        <w:ind w:firstLine="643"/>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本实施意见自发布之日起实施。</w:t>
      </w:r>
    </w:p>
    <w:p>
      <w:pPr>
        <w:pStyle w:val="5"/>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right="159" w:firstLine="420"/>
        <w:jc w:val="right"/>
        <w:textAlignment w:val="auto"/>
        <w:rPr>
          <w:rFonts w:hint="eastAsia" w:ascii="仿宋" w:hAnsi="仿宋" w:eastAsia="仿宋" w:cs="仿宋"/>
          <w:color w:val="auto"/>
          <w:sz w:val="32"/>
          <w:szCs w:val="32"/>
        </w:rPr>
      </w:pPr>
    </w:p>
    <w:p>
      <w:pPr>
        <w:pStyle w:val="5"/>
        <w:keepNext w:val="0"/>
        <w:keepLines w:val="0"/>
        <w:pageBreakBefore w:val="0"/>
        <w:widowControl w:val="0"/>
        <w:kinsoku/>
        <w:wordWrap w:val="0"/>
        <w:overflowPunct/>
        <w:topLinePunct w:val="0"/>
        <w:autoSpaceDE/>
        <w:autoSpaceDN/>
        <w:bidi w:val="0"/>
        <w:adjustRightInd/>
        <w:snapToGrid/>
        <w:spacing w:beforeAutospacing="0" w:afterAutospacing="0" w:line="550" w:lineRule="exact"/>
        <w:ind w:right="160" w:firstLine="4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隆回县人民政府办公室</w:t>
      </w:r>
      <w:r>
        <w:rPr>
          <w:rFonts w:hint="eastAsia" w:ascii="仿宋" w:hAnsi="仿宋" w:eastAsia="仿宋" w:cs="仿宋"/>
          <w:color w:val="auto"/>
          <w:sz w:val="32"/>
          <w:szCs w:val="32"/>
          <w:lang w:val="en-US" w:eastAsia="zh-CN"/>
        </w:rPr>
        <w:t xml:space="preserve">    </w:t>
      </w:r>
    </w:p>
    <w:p>
      <w:pPr>
        <w:pStyle w:val="5"/>
        <w:keepNext w:val="0"/>
        <w:keepLines w:val="0"/>
        <w:pageBreakBefore w:val="0"/>
        <w:widowControl w:val="0"/>
        <w:kinsoku/>
        <w:wordWrap w:val="0"/>
        <w:overflowPunct/>
        <w:topLinePunct w:val="0"/>
        <w:autoSpaceDE/>
        <w:autoSpaceDN/>
        <w:bidi w:val="0"/>
        <w:adjustRightInd/>
        <w:snapToGrid/>
        <w:spacing w:beforeAutospacing="0" w:afterAutospacing="0" w:line="550" w:lineRule="exact"/>
        <w:ind w:right="480" w:firstLine="4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sectPr>
      <w:footerReference r:id="rId4" w:type="default"/>
      <w:pgSz w:w="11906" w:h="16838"/>
      <w:pgMar w:top="1701" w:right="1417" w:bottom="1417" w:left="1417" w:header="851" w:footer="850"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87356672"/>
                            <w:docPartObj>
                              <w:docPartGallery w:val="autotext"/>
                            </w:docPartObj>
                          </w:sdtPr>
                          <w:sdt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487356672"/>
                      <w:docPartObj>
                        <w:docPartGallery w:val="autotext"/>
                      </w:docPartObj>
                    </w:sdtPr>
                    <w:sdt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10"/>
    <w:rsid w:val="0002176E"/>
    <w:rsid w:val="0003726A"/>
    <w:rsid w:val="00086FE3"/>
    <w:rsid w:val="000B6FA7"/>
    <w:rsid w:val="00117170"/>
    <w:rsid w:val="001414CD"/>
    <w:rsid w:val="00143BA3"/>
    <w:rsid w:val="00181A42"/>
    <w:rsid w:val="001858CE"/>
    <w:rsid w:val="001C0575"/>
    <w:rsid w:val="001D2E10"/>
    <w:rsid w:val="001F0B88"/>
    <w:rsid w:val="00220C63"/>
    <w:rsid w:val="00250A48"/>
    <w:rsid w:val="002622BF"/>
    <w:rsid w:val="002860DB"/>
    <w:rsid w:val="002F6497"/>
    <w:rsid w:val="003066A5"/>
    <w:rsid w:val="003D0F1E"/>
    <w:rsid w:val="003D7C6D"/>
    <w:rsid w:val="003E5568"/>
    <w:rsid w:val="003E67CD"/>
    <w:rsid w:val="00470909"/>
    <w:rsid w:val="004A1A37"/>
    <w:rsid w:val="004A368A"/>
    <w:rsid w:val="004F0D2C"/>
    <w:rsid w:val="00611C3F"/>
    <w:rsid w:val="00670743"/>
    <w:rsid w:val="00697502"/>
    <w:rsid w:val="006D67DB"/>
    <w:rsid w:val="00770962"/>
    <w:rsid w:val="00782FB4"/>
    <w:rsid w:val="0078357A"/>
    <w:rsid w:val="007B041D"/>
    <w:rsid w:val="007D6010"/>
    <w:rsid w:val="00827428"/>
    <w:rsid w:val="0088342F"/>
    <w:rsid w:val="00885242"/>
    <w:rsid w:val="00885D1C"/>
    <w:rsid w:val="0089136F"/>
    <w:rsid w:val="008D110B"/>
    <w:rsid w:val="009B7D84"/>
    <w:rsid w:val="009F4007"/>
    <w:rsid w:val="00A12BC2"/>
    <w:rsid w:val="00AA2471"/>
    <w:rsid w:val="00AC6001"/>
    <w:rsid w:val="00B077FC"/>
    <w:rsid w:val="00B13450"/>
    <w:rsid w:val="00B57646"/>
    <w:rsid w:val="00B62B24"/>
    <w:rsid w:val="00BA03E0"/>
    <w:rsid w:val="00BA1A4E"/>
    <w:rsid w:val="00C75161"/>
    <w:rsid w:val="00CC5739"/>
    <w:rsid w:val="00CD5010"/>
    <w:rsid w:val="00D073B2"/>
    <w:rsid w:val="00D812E4"/>
    <w:rsid w:val="00DE7767"/>
    <w:rsid w:val="00E30582"/>
    <w:rsid w:val="00E519D3"/>
    <w:rsid w:val="00E672AB"/>
    <w:rsid w:val="00EE7F71"/>
    <w:rsid w:val="00F55AD1"/>
    <w:rsid w:val="00F827FB"/>
    <w:rsid w:val="00F870B2"/>
    <w:rsid w:val="00FA4350"/>
    <w:rsid w:val="00FA56B3"/>
    <w:rsid w:val="19720AF8"/>
    <w:rsid w:val="20BF476B"/>
    <w:rsid w:val="3E6A5305"/>
    <w:rsid w:val="47C37BD7"/>
    <w:rsid w:val="64D564DE"/>
    <w:rsid w:val="6EC3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1 Char"/>
    <w:basedOn w:val="7"/>
    <w:link w:val="2"/>
    <w:qFormat/>
    <w:uiPriority w:val="0"/>
    <w:rPr>
      <w:rFonts w:ascii="宋体" w:hAnsi="宋体" w:eastAsia="宋体" w:cs="Times New Roman"/>
      <w:b/>
      <w:kern w:val="44"/>
      <w:sz w:val="48"/>
      <w:szCs w:val="4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9B612-B24F-4541-B60C-82DA0D5DE9BA}">
  <ds:schemaRefs/>
</ds:datastoreItem>
</file>

<file path=docProps/app.xml><?xml version="1.0" encoding="utf-8"?>
<Properties xmlns="http://schemas.openxmlformats.org/officeDocument/2006/extended-properties" xmlns:vt="http://schemas.openxmlformats.org/officeDocument/2006/docPropsVTypes">
  <Template>Normal</Template>
  <Pages>4</Pages>
  <Words>402</Words>
  <Characters>2293</Characters>
  <Lines>19</Lines>
  <Paragraphs>5</Paragraphs>
  <TotalTime>0</TotalTime>
  <ScaleCrop>false</ScaleCrop>
  <LinksUpToDate>false</LinksUpToDate>
  <CharactersWithSpaces>2690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2021-05-27T07:26:00Z</dcterms:created>
  <dc:creator>LH</dc:creator>
  <cp:lastModifiedBy>WPS_1527845503</cp:lastModifiedBy>
  <cp:lastPrinted>2021-07-19T07:58:53Z</cp:lastPrinted>
  <dcterms:modified xsi:type="dcterms:W3CDTF">2021-07-19T07:59:42Z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BF8B57B2A26649BBABC00D0F67E217E0</vt:lpwstr>
  </property>
  <property fmtid="{D5CDD505-2E9C-101B-9397-08002B2CF9AE}" pid="4" name="KSOSaveFontToCloudKey">
    <vt:lpwstr>375372084_cloud</vt:lpwstr>
  </property>
</Properties>
</file>