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hd w:val="clear" w:color="auto" w:fill="FFFFFF"/>
        <w:spacing w:lineRule="atLeast" w:line="528"/>
        <w:ind w:firstLineChars="250"/>
        <w:rPr>
          <w:rFonts w:ascii="仿宋_GB2312" w:hAnsi="仿宋_GB2312" w:eastAsia="仿宋_GB2312" w:cs="宋体"/>
          <w:b/>
          <w:b/>
          <w:color w:val="000000"/>
          <w:kern w:val="0"/>
          <w:sz w:val="44"/>
          <w:szCs w:val="44"/>
        </w:rPr>
      </w:pPr>
      <w:r>
        <w:rPr>
          <w:rFonts w:ascii="仿宋_GB2312" w:hAnsi="仿宋_GB2312" w:cs="宋体" w:eastAsia="仿宋_GB2312"/>
          <w:b/>
          <w:color w:val="000000"/>
          <w:kern w:val="0"/>
          <w:sz w:val="44"/>
          <w:szCs w:val="44"/>
        </w:rPr>
        <w:t>隆回县农村</w:t>
      </w:r>
      <w:r>
        <w:rPr>
          <w:rFonts w:ascii="仿宋_GB2312" w:hAnsi="仿宋_GB2312" w:cs="宋体" w:eastAsia="仿宋_GB2312"/>
          <w:b/>
          <w:color w:val="000000"/>
          <w:kern w:val="0"/>
          <w:sz w:val="44"/>
          <w:szCs w:val="44"/>
          <w:lang w:eastAsia="zh-CN"/>
        </w:rPr>
        <w:t>经营服务站</w:t>
      </w:r>
      <w:r>
        <w:rPr>
          <w:rFonts w:eastAsia="仿宋_GB2312" w:cs="宋体" w:ascii="仿宋_GB2312" w:hAnsi="仿宋_GB2312"/>
          <w:b/>
          <w:color w:val="000000"/>
          <w:kern w:val="0"/>
          <w:sz w:val="44"/>
          <w:szCs w:val="44"/>
        </w:rPr>
        <w:t>20</w:t>
      </w:r>
      <w:r>
        <w:rPr>
          <w:rFonts w:eastAsia="仿宋_GB2312" w:cs="宋体" w:ascii="仿宋_GB2312" w:hAnsi="仿宋_GB2312"/>
          <w:b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ascii="仿宋_GB2312" w:hAnsi="仿宋_GB2312" w:cs="宋体" w:eastAsia="仿宋_GB2312"/>
          <w:b/>
          <w:color w:val="000000"/>
          <w:kern w:val="0"/>
          <w:sz w:val="44"/>
          <w:szCs w:val="44"/>
        </w:rPr>
        <w:t>年</w:t>
      </w:r>
    </w:p>
    <w:p>
      <w:pPr>
        <w:pStyle w:val="Style14"/>
        <w:widowControl/>
        <w:shd w:val="clear" w:color="auto" w:fill="FFFFFF"/>
        <w:spacing w:lineRule="atLeast" w:line="528"/>
        <w:ind w:firstLineChars="300"/>
        <w:rPr>
          <w:rFonts w:ascii="仿宋_GB2312" w:hAnsi="仿宋_GB2312" w:eastAsia="仿宋_GB2312" w:cs="宋体"/>
          <w:b/>
          <w:b/>
          <w:color w:val="000000"/>
          <w:kern w:val="0"/>
          <w:sz w:val="44"/>
          <w:szCs w:val="44"/>
        </w:rPr>
      </w:pPr>
      <w:r>
        <w:rPr>
          <w:rFonts w:ascii="仿宋_GB2312" w:hAnsi="仿宋_GB2312" w:cs="宋体" w:eastAsia="仿宋_GB2312"/>
          <w:b/>
          <w:color w:val="000000"/>
          <w:kern w:val="0"/>
          <w:sz w:val="44"/>
          <w:szCs w:val="44"/>
        </w:rPr>
        <w:t>部门整体支出绩效</w:t>
      </w:r>
      <w:r>
        <w:rPr>
          <w:rFonts w:ascii="仿宋_GB2312" w:hAnsi="仿宋_GB2312" w:cs="宋体" w:eastAsia="仿宋_GB2312"/>
          <w:b/>
          <w:color w:val="000000"/>
          <w:kern w:val="0"/>
          <w:sz w:val="44"/>
          <w:szCs w:val="44"/>
          <w:lang w:eastAsia="zh-CN"/>
        </w:rPr>
        <w:t>自评</w:t>
      </w:r>
      <w:r>
        <w:rPr>
          <w:rFonts w:ascii="仿宋_GB2312" w:hAnsi="仿宋_GB2312" w:cs="宋体" w:eastAsia="仿宋_GB2312"/>
          <w:b/>
          <w:color w:val="000000"/>
          <w:kern w:val="0"/>
          <w:sz w:val="44"/>
          <w:szCs w:val="44"/>
        </w:rPr>
        <w:t>报告</w:t>
      </w:r>
    </w:p>
    <w:p>
      <w:pPr>
        <w:pStyle w:val="Style14"/>
        <w:widowControl/>
        <w:shd w:val="clear" w:color="auto" w:fill="FFFFFF"/>
        <w:spacing w:lineRule="atLeast" w:line="528"/>
        <w:ind w:firstLineChars="20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根据隆财绩【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】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号《隆回县财政局关于开展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部门整体支出和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县级财政资金绩效评价工作的通知》的有关要求，现将我单位部门整体支出绩效评价情况报告如下：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宋体" w:hAnsi="宋体" w:eastAsia="宋体" w:cs="宋体"/>
          <w:b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一、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部门概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况</w:t>
      </w:r>
    </w:p>
    <w:p>
      <w:pPr>
        <w:pStyle w:val="Style14"/>
        <w:widowControl/>
        <w:shd w:val="clear" w:color="auto" w:fill="FFFFFF"/>
        <w:spacing w:lineRule="atLeast" w:line="528"/>
        <w:ind w:firstLineChars="200"/>
        <w:rPr>
          <w:rFonts w:ascii="仿宋" w:hAnsi="仿宋" w:eastAsia="宋体" w:cs="宋体"/>
          <w:b/>
          <w:b/>
          <w:color w:val="545454"/>
          <w:kern w:val="0"/>
          <w:sz w:val="33"/>
          <w:szCs w:val="33"/>
          <w:lang w:eastAsia="zh-CN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（一）</w:t>
      </w:r>
      <w:r>
        <w:rPr>
          <w:rFonts w:ascii="宋体" w:hAnsi="宋体" w:cs="宋体"/>
          <w:b/>
          <w:color w:val="000000"/>
          <w:kern w:val="0"/>
          <w:sz w:val="32"/>
          <w:szCs w:val="32"/>
          <w:lang w:eastAsia="zh-CN"/>
        </w:rPr>
        <w:t>部门基本情况</w:t>
      </w:r>
    </w:p>
    <w:p>
      <w:pPr>
        <w:pStyle w:val="Style14"/>
        <w:widowControl/>
        <w:shd w:val="clear" w:color="auto" w:fill="FFFFFF"/>
        <w:spacing w:lineRule="atLeast" w:line="528"/>
        <w:ind w:firstLineChars="20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隆回县农村经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营服务站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现有内设机构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个，办公室、</w:t>
      </w:r>
      <w:r>
        <w:rPr>
          <w:rFonts w:ascii="仿宋_GB2312" w:hAnsi="仿宋_GB2312" w:cs="仿宋_GB2312" w:eastAsia="仿宋_GB2312"/>
          <w:sz w:val="32"/>
          <w:szCs w:val="32"/>
          <w:lang w:eastAsia="zh-CN"/>
        </w:rPr>
        <w:t>集体经济组织服务部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</w:t>
      </w:r>
      <w:r>
        <w:rPr>
          <w:rFonts w:ascii="仿宋_GB2312" w:hAnsi="仿宋_GB2312" w:cs="仿宋_GB2312" w:eastAsia="仿宋_GB2312"/>
          <w:sz w:val="32"/>
          <w:szCs w:val="32"/>
          <w:lang w:eastAsia="zh-CN"/>
        </w:rPr>
        <w:t>土地承包和流转事务部、农民负担监测事务部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。我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站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机关纳入财政预算，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年年初预算，编制人数为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1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人，实有人数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3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人，在职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人，退休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人。</w:t>
      </w:r>
    </w:p>
    <w:p>
      <w:pPr>
        <w:pStyle w:val="Style14"/>
        <w:widowControl/>
        <w:shd w:val="clear" w:color="auto" w:fill="FFFFFF"/>
        <w:spacing w:lineRule="atLeast" w:line="528"/>
        <w:ind w:firstLineChars="200"/>
        <w:rPr>
          <w:rFonts w:ascii="仿宋_GB2312" w:hAnsi="仿宋_GB2312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单位主要职责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为：</w:t>
      </w:r>
    </w:p>
    <w:p>
      <w:pPr>
        <w:pStyle w:val="Style14"/>
        <w:keepNext w:val="false"/>
        <w:keepLines w:val="false"/>
        <w:pageBreakBefore w:val="false"/>
        <w:widowControl w:val="false"/>
        <w:overflowPunct w:val="true"/>
        <w:bidi w:val="0"/>
        <w:spacing w:lineRule="auto" w:line="240"/>
        <w:ind w:left="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eastAsia="仿宋_GB2312" w:cs="仿宋_GB2312" w:ascii="仿宋_GB2312" w:hAnsi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cs="仿宋_GB2312" w:eastAsia="仿宋_GB2312"/>
          <w:sz w:val="32"/>
          <w:szCs w:val="32"/>
          <w:lang w:val="en-US" w:eastAsia="zh-CN"/>
        </w:rPr>
        <w:t>、</w:t>
      </w:r>
      <w:r>
        <w:rPr>
          <w:rFonts w:ascii="仿宋_GB2312" w:hAnsi="仿宋_GB2312" w:cs="仿宋_GB2312" w:eastAsia="仿宋_GB2312"/>
          <w:sz w:val="32"/>
          <w:szCs w:val="32"/>
        </w:rPr>
        <w:t>承办土地承包和土地承包纠纷调解、仲裁等方面的工作</w:t>
      </w:r>
      <w:r>
        <w:rPr>
          <w:rFonts w:ascii="仿宋_GB2312" w:hAnsi="仿宋_GB2312" w:cs="仿宋_GB2312" w:eastAsia="仿宋_GB2312"/>
          <w:sz w:val="32"/>
          <w:szCs w:val="32"/>
          <w:lang w:eastAsia="zh-CN"/>
        </w:rPr>
        <w:t>。</w:t>
      </w:r>
    </w:p>
    <w:p>
      <w:pPr>
        <w:pStyle w:val="Style14"/>
        <w:keepNext w:val="false"/>
        <w:keepLines w:val="false"/>
        <w:pageBreakBefore w:val="false"/>
        <w:widowControl w:val="false"/>
        <w:overflowPunct w:val="true"/>
        <w:bidi w:val="0"/>
        <w:spacing w:lineRule="auto" w:line="240"/>
        <w:ind w:left="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cs="仿宋_GB2312" w:eastAsia="仿宋_GB2312"/>
          <w:sz w:val="32"/>
          <w:szCs w:val="32"/>
          <w:lang w:val="en-US" w:eastAsia="zh-CN"/>
        </w:rPr>
        <w:t>、</w:t>
      </w:r>
      <w:r>
        <w:rPr>
          <w:rFonts w:ascii="仿宋_GB2312" w:hAnsi="仿宋_GB2312" w:cs="仿宋_GB2312" w:eastAsia="仿宋_GB2312"/>
          <w:sz w:val="32"/>
          <w:szCs w:val="32"/>
        </w:rPr>
        <w:t>承办指导农民专业合作社、家庭农场建设和发展方面的事务性工作及相关服务</w:t>
      </w:r>
      <w:r>
        <w:rPr>
          <w:rFonts w:ascii="仿宋_GB2312" w:hAnsi="仿宋_GB2312" w:cs="仿宋_GB2312" w:eastAsia="仿宋_GB2312"/>
          <w:sz w:val="32"/>
          <w:szCs w:val="32"/>
          <w:lang w:eastAsia="zh-CN"/>
        </w:rPr>
        <w:t>工作</w:t>
      </w:r>
      <w:r>
        <w:rPr>
          <w:rFonts w:ascii="仿宋_GB2312" w:hAnsi="仿宋_GB2312" w:cs="仿宋_GB2312" w:eastAsia="仿宋_GB2312"/>
          <w:sz w:val="32"/>
          <w:szCs w:val="32"/>
        </w:rPr>
        <w:t>。</w:t>
      </w:r>
    </w:p>
    <w:p>
      <w:pPr>
        <w:pStyle w:val="Style14"/>
        <w:keepNext w:val="false"/>
        <w:keepLines w:val="false"/>
        <w:pageBreakBefore w:val="false"/>
        <w:widowControl w:val="false"/>
        <w:overflowPunct w:val="true"/>
        <w:bidi w:val="0"/>
        <w:spacing w:lineRule="auto" w:line="240"/>
        <w:ind w:left="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cs="仿宋_GB2312" w:eastAsia="仿宋_GB2312"/>
          <w:sz w:val="32"/>
          <w:szCs w:val="32"/>
          <w:lang w:val="en-US" w:eastAsia="zh-CN"/>
        </w:rPr>
        <w:t>、</w:t>
      </w:r>
      <w:r>
        <w:rPr>
          <w:rFonts w:ascii="仿宋_GB2312" w:hAnsi="仿宋_GB2312" w:cs="仿宋_GB2312" w:eastAsia="仿宋_GB2312"/>
          <w:sz w:val="32"/>
          <w:szCs w:val="32"/>
        </w:rPr>
        <w:t>承办指导全县农村集体经济组织、财务审计等方面的事务性工作。</w:t>
      </w:r>
    </w:p>
    <w:p>
      <w:pPr>
        <w:pStyle w:val="Style14"/>
        <w:keepNext w:val="false"/>
        <w:keepLines w:val="false"/>
        <w:pageBreakBefore w:val="false"/>
        <w:numPr>
          <w:ilvl w:val="0"/>
          <w:numId w:val="0"/>
        </w:numPr>
        <w:overflowPunct w:val="true"/>
        <w:spacing w:lineRule="auto" w:line="240"/>
        <w:ind w:left="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eastAsia="仿宋_GB2312" w:cs="仿宋_GB2312" w:ascii="仿宋_GB2312" w:hAnsi="仿宋_GB2312"/>
          <w:kern w:val="2"/>
          <w:sz w:val="32"/>
          <w:szCs w:val="32"/>
          <w:lang w:val="en-US" w:eastAsia="zh-CN" w:bidi="ar-SA"/>
        </w:rPr>
        <w:t>4</w:t>
      </w:r>
      <w:r>
        <w:rPr>
          <w:rFonts w:ascii="仿宋_GB2312" w:hAnsi="仿宋_GB2312" w:cs="仿宋_GB2312" w:eastAsia="仿宋_GB2312"/>
          <w:kern w:val="2"/>
          <w:sz w:val="32"/>
          <w:szCs w:val="32"/>
          <w:lang w:val="en-US" w:eastAsia="zh-CN" w:bidi="ar-SA"/>
        </w:rPr>
        <w:t>、承办农民</w:t>
      </w:r>
      <w:r>
        <w:rPr>
          <w:rFonts w:ascii="仿宋_GB2312" w:hAnsi="仿宋_GB2312" w:cs="仿宋_GB2312" w:eastAsia="仿宋_GB2312"/>
          <w:sz w:val="32"/>
          <w:szCs w:val="32"/>
        </w:rPr>
        <w:t>负担监督方面的相关事务性工作。</w:t>
      </w:r>
    </w:p>
    <w:p>
      <w:pPr>
        <w:pStyle w:val="Style14"/>
        <w:keepNext w:val="false"/>
        <w:keepLines w:val="false"/>
        <w:pageBreakBefore w:val="false"/>
        <w:numPr>
          <w:ilvl w:val="0"/>
          <w:numId w:val="0"/>
        </w:numPr>
        <w:overflowPunct w:val="true"/>
        <w:spacing w:lineRule="auto" w:line="240"/>
        <w:ind w:left="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 xml:space="preserve">  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、承办县委、县政府及主管部门交办的其他工作。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宋体" w:hAnsi="宋体" w:eastAsia="宋体" w:cs="宋体"/>
          <w:b/>
          <w:b/>
          <w:bCs/>
          <w:kern w:val="0"/>
          <w:sz w:val="32"/>
          <w:szCs w:val="32"/>
          <w:shd w:fill="FFFFFF" w:val="clear"/>
          <w:lang w:val="en-US" w:eastAsia="zh-CN" w:bidi="ar"/>
        </w:rPr>
      </w:pPr>
      <w:r>
        <w:rPr>
          <w:rFonts w:ascii="宋体" w:hAnsi="宋体" w:cs="宋体"/>
          <w:b/>
          <w:bCs/>
          <w:kern w:val="0"/>
          <w:sz w:val="32"/>
          <w:szCs w:val="32"/>
          <w:shd w:fill="FFFFFF" w:val="clear"/>
          <w:lang w:eastAsia="zh-CN" w:bidi="ar"/>
        </w:rPr>
        <w:t>（二）</w:t>
      </w:r>
      <w:r>
        <w:rPr>
          <w:rFonts w:eastAsia="宋体" w:cs="宋体" w:ascii="宋体" w:hAnsi="宋体"/>
          <w:b/>
          <w:bCs/>
          <w:kern w:val="0"/>
          <w:sz w:val="32"/>
          <w:szCs w:val="32"/>
          <w:shd w:fill="FFFFFF" w:val="clear"/>
          <w:lang w:val="en-US" w:eastAsia="zh-CN" w:bidi="ar"/>
        </w:rPr>
        <w:t>2020</w:t>
      </w:r>
      <w:r>
        <w:rPr>
          <w:rFonts w:ascii="宋体" w:hAnsi="宋体" w:cs="宋体"/>
          <w:b/>
          <w:bCs/>
          <w:kern w:val="0"/>
          <w:sz w:val="32"/>
          <w:szCs w:val="32"/>
          <w:shd w:fill="FFFFFF" w:val="clear"/>
          <w:lang w:val="en-US" w:eastAsia="zh-CN" w:bidi="ar"/>
        </w:rPr>
        <w:t>年的重点工作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年我站的重点工作为：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、土地确权项目的扫尾纠错工作。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、土地流转管理工作及土地纠纷的仲裁。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、新型农业经营主体的发展工作。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4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、农民负担的监督管理工作。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5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、农村集体产权改革工作。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6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、农村集体经济收入的发展。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7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、村级财务审计的指导工作。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部门整体支出情况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我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站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2020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年全年可用预算资金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1885.93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万元，年初预算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276.63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万元，上年度结转和结余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1609.3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万元，包括减轻农民负担经费、土地流转、村级财务审计、家庭农场创建、土地确权颁证、集体产权改革等。支出为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986.06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万元，其中基本支出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241.63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万元，使用为人员经费和日常公用经费；项目支出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744.43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万元，使用内容为业务支出及资本性支出。具体使用方向：农村集体产权制度改革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21.86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万元、家庭农场奖励补助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35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万元，土地确权技术服务支出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 w:bidi="ar-SA"/>
        </w:rPr>
        <w:t>687.57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 w:bidi="ar-SA"/>
        </w:rPr>
        <w:t>万元。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b/>
          <w:b/>
          <w:bCs/>
        </w:rPr>
      </w:pPr>
      <w:r>
        <w:rPr>
          <w:rFonts w:ascii="仿宋_GB2312" w:hAnsi="仿宋_GB2312" w:cs="宋体" w:eastAsia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二、部门整体支</w:t>
      </w:r>
      <w:r>
        <w:rPr>
          <w:rFonts w:ascii="仿宋_GB2312" w:hAnsi="仿宋_GB2312" w:cs="宋体" w:eastAsia="仿宋_GB2312"/>
          <w:b/>
          <w:bCs/>
          <w:color w:val="000000"/>
          <w:kern w:val="0"/>
          <w:sz w:val="32"/>
          <w:szCs w:val="32"/>
        </w:rPr>
        <w:t>出管理及使用情况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_GB2312" w:hAnsi="仿宋_GB2312" w:eastAsia="仿宋_GB2312" w:cs="宋体"/>
          <w:b w:val="false"/>
          <w:b w:val="false"/>
          <w:bCs w:val="false"/>
          <w:color w:val="000000"/>
          <w:kern w:val="0"/>
          <w:sz w:val="32"/>
          <w:szCs w:val="32"/>
        </w:rPr>
      </w:pP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（一）基本支出情况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_GB2312" w:hAnsi="仿宋_GB2312" w:eastAsia="仿宋_GB2312" w:cs="宋体"/>
          <w:b w:val="false"/>
          <w:b w:val="false"/>
          <w:bCs w:val="false"/>
          <w:color w:val="000000"/>
          <w:kern w:val="0"/>
          <w:sz w:val="32"/>
          <w:szCs w:val="32"/>
        </w:rPr>
      </w:pP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2020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年我站基本支出为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241.63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万元，主要为基本工资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53.5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万元，津贴补贴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29.95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万元，绩效奖励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15.05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万元，奖励支出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12.48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万元，养老保险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12.26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万元，医疗保险及其他社会保险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9.2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万元，住房公积金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9.9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万元。商品和服务支出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62.2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万元，扶贫支出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25.6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万元，审计工作方面支出</w:t>
      </w:r>
      <w:r>
        <w:rPr>
          <w:rFonts w:eastAsia="仿宋_GB2312" w:cs="宋体" w:ascii="仿宋_GB2312" w:hAnsi="仿宋_GB2312"/>
          <w:b w:val="false"/>
          <w:bCs w:val="false"/>
          <w:color w:val="000000"/>
          <w:kern w:val="0"/>
          <w:sz w:val="32"/>
          <w:szCs w:val="32"/>
        </w:rPr>
        <w:t>11.49</w:t>
      </w:r>
      <w:r>
        <w:rPr>
          <w:rFonts w:ascii="仿宋_GB2312" w:hAnsi="仿宋_GB2312" w:cs="宋体" w:eastAsia="仿宋_GB2312"/>
          <w:b w:val="false"/>
          <w:bCs w:val="false"/>
          <w:color w:val="000000"/>
          <w:kern w:val="0"/>
          <w:sz w:val="32"/>
          <w:szCs w:val="32"/>
        </w:rPr>
        <w:t>万元。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" w:hAnsi="仿宋" w:eastAsia="仿宋" w:cs="宋体"/>
          <w:b/>
          <w:b/>
          <w:bCs/>
          <w:color w:val="545454"/>
          <w:kern w:val="0"/>
          <w:sz w:val="33"/>
          <w:szCs w:val="33"/>
          <w:lang w:val="en-US" w:eastAsia="zh-CN"/>
        </w:rPr>
      </w:pPr>
      <w:r>
        <w:rPr>
          <w:rFonts w:ascii="仿宋" w:hAnsi="仿宋" w:cs="宋体" w:eastAsia="仿宋"/>
          <w:b/>
          <w:bCs/>
          <w:color w:val="545454"/>
          <w:kern w:val="0"/>
          <w:sz w:val="33"/>
          <w:szCs w:val="33"/>
          <w:lang w:val="en-US" w:eastAsia="zh-CN"/>
        </w:rPr>
        <w:t>（二）项目支出情况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年我站项目支出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744.43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万元，为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农村集体产权制度改革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21.86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万元、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家庭农场奖励补助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35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万元，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土地确权技术服务支出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687.57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万元。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仿宋_GB2312" w:hAnsi="仿宋_GB2312" w:eastAsia="仿宋_GB2312" w:cs="宋体"/>
          <w:b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仿宋_GB2312" w:cs="宋体" w:eastAsia="仿宋_GB2312"/>
          <w:b/>
          <w:bCs/>
          <w:color w:val="000000"/>
          <w:kern w:val="0"/>
          <w:sz w:val="32"/>
          <w:szCs w:val="32"/>
          <w:lang w:eastAsia="zh-CN"/>
        </w:rPr>
        <w:t>（三）“三公”经费情况</w:t>
      </w:r>
    </w:p>
    <w:p>
      <w:pPr>
        <w:pStyle w:val="Style14"/>
        <w:widowControl/>
        <w:numPr>
          <w:ilvl w:val="0"/>
          <w:numId w:val="2"/>
        </w:numPr>
        <w:shd w:val="clear" w:color="auto" w:fill="FFFFFF"/>
        <w:spacing w:lineRule="atLeast" w:line="528"/>
        <w:ind w:left="640"/>
        <w:rPr>
          <w:rFonts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因公出国（境）费用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元。</w:t>
      </w:r>
    </w:p>
    <w:p>
      <w:pPr>
        <w:pStyle w:val="Style14"/>
        <w:widowControl/>
        <w:numPr>
          <w:ilvl w:val="0"/>
          <w:numId w:val="2"/>
        </w:numPr>
        <w:shd w:val="clear" w:color="auto" w:fill="FFFFFF"/>
        <w:spacing w:lineRule="atLeast" w:line="528"/>
        <w:ind w:left="640"/>
        <w:rPr>
          <w:rFonts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公务接待费预算为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万元，实际支出为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万元。</w:t>
      </w:r>
    </w:p>
    <w:p>
      <w:pPr>
        <w:pStyle w:val="Style14"/>
        <w:widowControl/>
        <w:numPr>
          <w:ilvl w:val="0"/>
          <w:numId w:val="2"/>
        </w:numPr>
        <w:shd w:val="clear" w:color="auto" w:fill="FFFFFF"/>
        <w:spacing w:lineRule="atLeast" w:line="528"/>
        <w:ind w:left="640"/>
        <w:rPr>
          <w:rFonts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公务用车购置及运行费因我站已实行公车改革，支出为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Style w:val="Style14"/>
        <w:widowControl/>
        <w:numPr>
          <w:ilvl w:val="0"/>
          <w:numId w:val="0"/>
        </w:numPr>
        <w:shd w:val="clear" w:color="auto" w:fill="FFFFFF"/>
        <w:spacing w:lineRule="atLeast" w:line="528"/>
        <w:ind w:left="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cs="宋体" w:eastAsia="黑体"/>
          <w:color w:val="000000"/>
          <w:kern w:val="0"/>
          <w:sz w:val="32"/>
          <w:szCs w:val="32"/>
          <w:lang w:eastAsia="zh-CN"/>
        </w:rPr>
        <w:t>三、部门整体支出</w:t>
      </w:r>
      <w:r>
        <w:rPr>
          <w:rFonts w:ascii="黑体" w:hAnsi="黑体" w:cs="宋体" w:eastAsia="黑体"/>
          <w:color w:val="000000"/>
          <w:kern w:val="0"/>
          <w:sz w:val="32"/>
          <w:szCs w:val="32"/>
        </w:rPr>
        <w:t>绩效情况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年，根据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站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年初工作规划和重点性工作，围绕县委、县政府全面建成小康社会的发展蓝图，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积极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履职，强化管理，较好的完成了年度工作目标。通过加强预算收支管理，不断建立健全内部管理制度，梳理内部管理流程，部门整体支出管理情况得到提升。根据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年度部门整体支出情况的概述和分析，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我站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年支出的主要绩效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如下：</w:t>
      </w:r>
    </w:p>
    <w:p>
      <w:pPr>
        <w:pStyle w:val="Style14"/>
        <w:widowControl/>
        <w:shd w:val="clear" w:color="auto" w:fill="FFFFFF"/>
        <w:spacing w:lineRule="atLeast" w:line="528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  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、农村经营体制创新亮点频出。一是强化创新领导上着力。二是创造性地发展家庭农场和农民合作联合社，全县到目前为止，工商注册登记的家庭农场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500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多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家、合作社联合社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1100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多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家。三是创造性地推进农村产权制度改革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，全县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572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val="en-US" w:eastAsia="zh-CN"/>
        </w:rPr>
        <w:t>个村、社区都成立了集体经济组织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。四是农村土地确权颁证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扫尾和纠错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工作。</w:t>
      </w:r>
    </w:p>
    <w:p>
      <w:pPr>
        <w:pStyle w:val="Style14"/>
        <w:widowControl/>
        <w:shd w:val="clear" w:color="auto" w:fill="FFFFFF"/>
        <w:spacing w:lineRule="atLeast" w:line="528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   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、农民权益维护和农民负担监管再上新台阶。根据各部门单位的职责不同，分别对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所有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县直责任部门和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个乡镇（含办事处）在政策宣传、惠农补贴发放、涉农收费和涉农筹资等多方面工作要求进行了进一步细化，签订了目标管理责任状，严格实行责任追究和目标考核。</w:t>
      </w:r>
    </w:p>
    <w:p>
      <w:pPr>
        <w:pStyle w:val="Style14"/>
        <w:widowControl/>
        <w:shd w:val="clear" w:color="auto" w:fill="FFFFFF"/>
        <w:spacing w:lineRule="atLeast" w:line="528"/>
        <w:rPr>
          <w:rFonts w:ascii="仿宋" w:hAnsi="仿宋" w:eastAsia="仿宋_GB2312" w:cs="宋体"/>
          <w:color w:val="545454"/>
          <w:kern w:val="0"/>
          <w:sz w:val="33"/>
          <w:szCs w:val="33"/>
          <w:lang w:eastAsia="zh-CN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   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3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、村级财务管理彻底扭转混乱局面。一是规范村级财务管理。二是严格按规定完成村级财务清查和重点村财务审计。三是狠抓农村财务案件处理。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四是指导完成了村支两委换届任期责任审计工作。</w:t>
      </w:r>
    </w:p>
    <w:p>
      <w:pPr>
        <w:pStyle w:val="Style14"/>
        <w:widowControl/>
        <w:shd w:val="clear" w:color="auto" w:fill="FFFFFF"/>
        <w:spacing w:lineRule="atLeast" w:line="528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黑体" w:hAnsi="黑体" w:cs="宋体" w:eastAsia="黑体"/>
          <w:color w:val="000000"/>
          <w:kern w:val="0"/>
          <w:sz w:val="32"/>
          <w:szCs w:val="32"/>
          <w:lang w:eastAsia="zh-CN"/>
        </w:rPr>
        <w:t>四</w:t>
      </w:r>
      <w:r>
        <w:rPr>
          <w:rFonts w:ascii="黑体" w:hAnsi="黑体" w:cs="宋体" w:eastAsia="黑体"/>
          <w:color w:val="000000"/>
          <w:kern w:val="0"/>
          <w:sz w:val="32"/>
          <w:szCs w:val="32"/>
        </w:rPr>
        <w:t>、存在的问题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初预算的编制较为精细，按照费用支出的使用范围和内容，进行了类、款、项三个层次的明细预算，进行了基本支出、项目支出的严格区分，同时在基本支出和项目支出中又进行了更为明细的预算。但对于追加项目支出的项目资金，没有进行预算分解，编制明细预算，因此涉及追加预算的项目支出的预算管理仅从总额进行控制，不便于进行精细化的预算管理和分析评价。</w:t>
      </w:r>
    </w:p>
    <w:p>
      <w:pPr>
        <w:pStyle w:val="Style14"/>
        <w:widowControl/>
        <w:shd w:val="clear" w:color="auto" w:fill="FFFFFF"/>
        <w:spacing w:lineRule="atLeast" w:line="528"/>
        <w:rPr>
          <w:rFonts w:ascii="仿宋" w:hAnsi="仿宋" w:eastAsia="仿宋" w:cs="宋体"/>
          <w:color w:val="545454"/>
          <w:kern w:val="0"/>
          <w:sz w:val="33"/>
          <w:szCs w:val="33"/>
        </w:rPr>
      </w:pPr>
      <w:bookmarkStart w:id="0" w:name="_GoBack"/>
      <w:bookmarkEnd w:id="0"/>
      <w:r>
        <w:rPr>
          <w:rFonts w:ascii="黑体" w:hAnsi="黑体" w:cs="宋体" w:eastAsia="黑体"/>
          <w:color w:val="000000"/>
          <w:kern w:val="0"/>
          <w:sz w:val="32"/>
          <w:szCs w:val="32"/>
          <w:lang w:eastAsia="zh-CN"/>
        </w:rPr>
        <w:t>五</w:t>
      </w:r>
      <w:r>
        <w:rPr>
          <w:rFonts w:ascii="黑体" w:hAnsi="黑体" w:cs="宋体" w:eastAsia="黑体"/>
          <w:color w:val="000000"/>
          <w:kern w:val="0"/>
          <w:sz w:val="32"/>
          <w:szCs w:val="32"/>
        </w:rPr>
        <w:t>、</w:t>
      </w:r>
      <w:r>
        <w:rPr>
          <w:rFonts w:ascii="黑体" w:hAnsi="黑体" w:cs="宋体" w:eastAsia="黑体"/>
          <w:color w:val="000000"/>
          <w:kern w:val="0"/>
          <w:sz w:val="32"/>
          <w:szCs w:val="32"/>
          <w:lang w:eastAsia="zh-CN"/>
        </w:rPr>
        <w:t>改进措施和</w:t>
      </w:r>
      <w:r>
        <w:rPr>
          <w:rFonts w:ascii="黑体" w:hAnsi="黑体" w:cs="宋体" w:eastAsia="黑体"/>
          <w:color w:val="000000"/>
          <w:kern w:val="0"/>
          <w:sz w:val="32"/>
          <w:szCs w:val="32"/>
        </w:rPr>
        <w:t>有关建议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细化预算编制工作，认真做好预算的编制。进一步加强内部机构的预算管理意识，严格按照预算编制的相关制度和要求，本着“勤俭节约、保障运转”的原则进行预算的编制；编制范围尽可能的全面、不漏项，进一步提高预算编制的科学性、合理性、严谨性和可控性。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、在日常预算管理过程中，进一步加强预算支出的审核、跟踪及预算执行情况分析。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 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_GB2312" w:cs="宋体"/>
          <w:color w:val="545454"/>
          <w:kern w:val="0"/>
          <w:sz w:val="33"/>
          <w:szCs w:val="33"/>
          <w:lang w:eastAsia="zh-CN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             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隆回县农村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  <w:lang w:eastAsia="zh-CN"/>
        </w:rPr>
        <w:t>经营服务站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                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</w:rPr>
        <w:t>20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 w:cs="宋体" w:ascii="仿宋_GB2312" w:hAnsi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日</w:t>
      </w:r>
    </w:p>
    <w:p>
      <w:pPr>
        <w:pStyle w:val="Style14"/>
        <w:widowControl/>
        <w:shd w:val="clear" w:color="auto" w:fill="FFFFFF"/>
        <w:spacing w:lineRule="atLeast" w:line="528"/>
        <w:ind w:firstLine="640"/>
        <w:rPr>
          <w:rFonts w:ascii="仿宋" w:hAnsi="仿宋" w:eastAsia="仿宋" w:cs="宋体"/>
          <w:color w:val="545454"/>
          <w:kern w:val="0"/>
          <w:sz w:val="33"/>
          <w:szCs w:val="33"/>
        </w:rPr>
      </w:pPr>
      <w:r>
        <w:rPr>
          <w:rFonts w:ascii="仿宋_GB2312" w:hAnsi="仿宋_GB2312" w:cs="宋体" w:eastAsia="仿宋_GB2312"/>
          <w:color w:val="000000"/>
          <w:kern w:val="0"/>
          <w:sz w:val="32"/>
          <w:szCs w:val="32"/>
        </w:rPr>
        <w:t>附件：</w:t>
      </w:r>
      <w:hyperlink r:id="rId2">
        <w:r>
          <w:rPr>
            <w:rFonts w:ascii="仿宋_GB2312" w:hAnsi="仿宋_GB2312" w:cs="宋体" w:eastAsia="仿宋_GB2312"/>
            <w:b/>
            <w:bCs/>
            <w:color w:val="0000FF"/>
            <w:kern w:val="0"/>
            <w:sz w:val="32"/>
            <w:u w:val="single"/>
          </w:rPr>
          <w:t>隆回县农村经</w:t>
        </w:r>
        <w:r>
          <w:rPr>
            <w:rFonts w:ascii="仿宋_GB2312" w:hAnsi="仿宋_GB2312" w:cs="宋体" w:eastAsia="仿宋_GB2312"/>
            <w:b/>
            <w:bCs/>
            <w:color w:val="0000FF"/>
            <w:kern w:val="0"/>
            <w:sz w:val="32"/>
            <w:u w:val="single"/>
            <w:lang w:eastAsia="zh-CN"/>
          </w:rPr>
          <w:t>营服务站</w:t>
        </w:r>
        <w:r>
          <w:rPr>
            <w:rFonts w:ascii="仿宋_GB2312" w:hAnsi="仿宋_GB2312" w:cs="宋体" w:eastAsia="仿宋_GB2312"/>
            <w:b/>
            <w:bCs/>
            <w:color w:val="0000FF"/>
            <w:kern w:val="0"/>
            <w:sz w:val="32"/>
            <w:u w:val="single"/>
          </w:rPr>
          <w:t>整体支出绩效</w:t>
        </w:r>
        <w:r>
          <w:rPr>
            <w:rFonts w:ascii="仿宋_GB2312" w:hAnsi="仿宋_GB2312" w:cs="宋体" w:eastAsia="仿宋_GB2312"/>
            <w:b/>
            <w:bCs/>
            <w:color w:val="0000FF"/>
            <w:kern w:val="0"/>
            <w:sz w:val="32"/>
            <w:u w:val="single"/>
            <w:lang w:eastAsia="zh-CN"/>
          </w:rPr>
          <w:t>自</w:t>
        </w:r>
        <w:r>
          <w:rPr>
            <w:rFonts w:ascii="仿宋_GB2312" w:hAnsi="仿宋_GB2312" w:cs="宋体" w:eastAsia="仿宋_GB2312"/>
            <w:b/>
            <w:bCs/>
            <w:color w:val="0000FF"/>
            <w:kern w:val="0"/>
            <w:sz w:val="32"/>
            <w:u w:val="single"/>
          </w:rPr>
          <w:t>评基础数据表</w:t>
        </w:r>
      </w:hyperlink>
    </w:p>
    <w:p>
      <w:pPr>
        <w:pStyle w:val="Style14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919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仿宋_GB2312">
    <w:charset w:val="86"/>
    <w:family w:val="roman"/>
    <w:pitch w:val="variable"/>
  </w:font>
  <w:font w:name="仿宋">
    <w:charset w:val="86"/>
    <w:family w:val="roman"/>
    <w:pitch w:val="variable"/>
  </w:font>
  <w:font w:name="宋体">
    <w:charset w:val="86"/>
    <w:family w:val="roman"/>
    <w:pitch w:val="variable"/>
  </w:font>
  <w:font w:name="黑体">
    <w:charset w:val="86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宋体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suppressAutoHyphens w:val="false"/>
      <w:bidi w:val="0"/>
      <w:spacing w:beforeLines="0" w:afterLines="0"/>
      <w:jc w:val="both"/>
    </w:pPr>
    <w:rPr>
      <w:rFonts w:ascii="Calibri" w:hAnsi="Calibri" w:eastAsia="宋体" w:cs="宋体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table" w:default="1" w:styleId="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ugang.gov.cn/module/download/downfile.jsp?classid=0&amp;filename=1709011045370287805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LanShanOffice/1.3.1.10806$Windows_X86_64 LibreOffice_project/f80839fe6f82fa093a278f4eb9b15d800481364b</Application>
  <AppVersion>15.0000</AppVersion>
  <Pages>5</Pages>
  <Words>1834</Words>
  <Characters>1982</Characters>
  <CharactersWithSpaces>2022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2018-07-09T07:25:00Z</dcterms:created>
  <dc:creator>Administrator</dc:creator>
  <dc:description/>
  <dc:language>zh-CN</dc:language>
  <cp:lastModifiedBy/>
  <dcterms:modified xsi:type="dcterms:W3CDTF">2021-08-20T16:32:03Z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7C8025C4B1174ECFB914CE20E0EA2D12</vt:lpwstr>
  </property>
  <property fmtid="{D5CDD505-2E9C-101B-9397-08002B2CF9AE}" pid="3" name="KSOProductBuildVer">
    <vt:lpwstr>2052-11.1.0.10463</vt:lpwstr>
  </property>
</Properties>
</file>