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bCs/>
          <w:kern w:val="0"/>
          <w:sz w:val="36"/>
          <w:szCs w:val="36"/>
        </w:rPr>
      </w:pPr>
      <w:r>
        <w:rPr>
          <w:rFonts w:hint="eastAsia" w:ascii="方正小标宋简体" w:eastAsia="方正小标宋简体"/>
          <w:bCs/>
          <w:kern w:val="0"/>
          <w:sz w:val="36"/>
          <w:szCs w:val="36"/>
        </w:rPr>
        <w:t>部门整体支出绩效自评报告</w:t>
      </w:r>
    </w:p>
    <w:p>
      <w:pPr>
        <w:ind w:firstLine="420" w:firstLineChars="200"/>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一、部门概况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（一）部门基本情况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lang w:eastAsia="zh-CN"/>
        </w:rPr>
      </w:pPr>
      <w:r>
        <w:rPr>
          <w:rFonts w:hint="eastAsia" w:eastAsia="仿宋_GB2312"/>
          <w:sz w:val="32"/>
          <w:szCs w:val="32"/>
          <w:lang w:eastAsia="zh-CN"/>
        </w:rPr>
        <w:t>罗洪镇人民政府机关行政编制</w:t>
      </w:r>
      <w:r>
        <w:rPr>
          <w:rFonts w:hint="eastAsia" w:eastAsia="仿宋_GB2312"/>
          <w:sz w:val="32"/>
          <w:szCs w:val="32"/>
          <w:lang w:val="en-US" w:eastAsia="zh-CN"/>
        </w:rPr>
        <w:t>25名，机关后勤服务全额拨款事业编制1名，公益一类全额拨款事业编制40名。</w:t>
      </w:r>
      <w:r>
        <w:rPr>
          <w:rFonts w:hint="eastAsia" w:eastAsia="仿宋_GB2312"/>
          <w:sz w:val="32"/>
          <w:szCs w:val="32"/>
          <w:lang w:eastAsia="zh-CN"/>
        </w:rPr>
        <w:t>下设六个内设机构：党政综合办公室、基层党建办公室、经济发展办公室、社会事务办公室、社会治安和应急管理办公室、自然资源和生态环境办公室，一个执法机构：行政综合执法大队，四个直属事业单位：社会事务综合服务中心、农业综合服务中心、政务服务中心、退役军人服务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lang w:eastAsia="zh-CN"/>
        </w:rPr>
        <w:t>主要职能职责是：（一）宣传和贯彻执行党的路线方针政策和法律法规；（二）落实基层管党治党工作责任制；（三）规范经济管理，组织指导经济发展和经济结构调整；（四）加强社会管理和基础设施建设，创造良好环境。（五）抓好精神文明建设，丰富群众文化生活，提倡移风易俗，反对封建迷信，破除陈规陋习，树立社会主义新风尚。（六）加强综合治理，维护社会稳定。（七）按照管理权限，负责机关和事业单位工作人员的教育、培养、选拔和监督工作。协助管理好派驻单位人员。（八）依法依规承担下放的经济社会管理权限和行政执法事项。（九）完成县委、县政府交办的其它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（二）</w:t>
      </w:r>
      <w:r>
        <w:rPr>
          <w:rFonts w:eastAsia="仿宋_GB2312"/>
          <w:sz w:val="32"/>
          <w:szCs w:val="32"/>
        </w:rPr>
        <w:t>20</w:t>
      </w:r>
      <w:r>
        <w:rPr>
          <w:rFonts w:hint="eastAsia" w:eastAsia="仿宋_GB2312"/>
          <w:sz w:val="32"/>
          <w:szCs w:val="32"/>
          <w:lang w:val="en-US" w:eastAsia="zh-CN"/>
        </w:rPr>
        <w:t>20</w:t>
      </w:r>
      <w:r>
        <w:rPr>
          <w:rFonts w:hint="eastAsia" w:eastAsia="仿宋_GB2312"/>
          <w:sz w:val="32"/>
          <w:szCs w:val="32"/>
        </w:rPr>
        <w:t>年的重点工作</w:t>
      </w:r>
    </w:p>
    <w:p>
      <w:pPr>
        <w:pStyle w:val="2"/>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按照“量入为出、收支平衡”的理财原则，采取有保有压的措施，统筹安排好各项支出。一是集中财力优先保障工资性支出，确保全镇机关事业单位工资按时足额发放。二是着力保障机构正常运转，进一步压缩“三公经费”和一般性支出。三是重点保障教育、社会保障、医疗卫生、精准脱贫等民生支出。按照全面实施绩效管理的要求，引导部门更加注重成本效益分析，更加关注支出结果和政策目标实现程度，转变只注重争取资金，而不重视绩效管理的现状，全面开展部门自评，加强重点监督和重点评价，加快构建全方位、全过程、全覆盖的预算绩效管理体系，提高预算管理水平和政策实施效果。</w:t>
      </w:r>
    </w:p>
    <w:p>
      <w:pPr>
        <w:pStyle w:val="2"/>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     加快推进产业转型升级，开创生态文明建设新局面</w:t>
      </w:r>
    </w:p>
    <w:p>
      <w:pPr>
        <w:pStyle w:val="2"/>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     提升现代农业发展水平，加快农村基础设施建设</w:t>
      </w:r>
    </w:p>
    <w:p>
      <w:pPr>
        <w:pStyle w:val="2"/>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     以优化产业结构为抓手，增添经济发展新动能</w:t>
      </w:r>
    </w:p>
    <w:p>
      <w:pPr>
        <w:pStyle w:val="2"/>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     决胜全面建成小康社会，坚决打赢脱贫攻坚战</w:t>
      </w:r>
    </w:p>
    <w:p>
      <w:pPr>
        <w:pStyle w:val="2"/>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     加快提升城乡人居环境，构建城乡融合发展新局面</w:t>
      </w:r>
    </w:p>
    <w:p>
      <w:pPr>
        <w:pStyle w:val="2"/>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     紧抓民生改善不放松，确保社会事业协调发展</w:t>
      </w:r>
    </w:p>
    <w:p>
      <w:pPr>
        <w:pStyle w:val="2"/>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     加强和创新社会治理，保障人民生命财产安全</w:t>
      </w:r>
    </w:p>
    <w:p>
      <w:pPr>
        <w:pStyle w:val="2"/>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     加强政府自身建设，竭尽全力让人民满意</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部门整体支出情况</w:t>
      </w:r>
    </w:p>
    <w:p>
      <w:pPr>
        <w:pStyle w:val="2"/>
        <w:numPr>
          <w:ilvl w:val="0"/>
          <w:numId w:val="0"/>
        </w:num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2020年部门预算总支出</w:t>
      </w:r>
      <w:r>
        <w:rPr>
          <w:rFonts w:hint="eastAsia" w:eastAsia="仿宋_GB2312" w:cs="Times New Roman"/>
          <w:kern w:val="2"/>
          <w:sz w:val="32"/>
          <w:szCs w:val="32"/>
          <w:lang w:val="en-US" w:eastAsia="zh-CN" w:bidi="ar-SA"/>
        </w:rPr>
        <w:t>1252.30</w:t>
      </w:r>
      <w:r>
        <w:rPr>
          <w:rFonts w:hint="eastAsia" w:ascii="Times New Roman" w:hAnsi="Times New Roman" w:eastAsia="仿宋_GB2312" w:cs="Times New Roman"/>
          <w:kern w:val="2"/>
          <w:sz w:val="32"/>
          <w:szCs w:val="32"/>
          <w:lang w:val="en-US" w:eastAsia="zh-CN" w:bidi="ar-SA"/>
        </w:rPr>
        <w:t>万元。其中，基本支出</w:t>
      </w:r>
      <w:r>
        <w:rPr>
          <w:rFonts w:hint="eastAsia" w:eastAsia="仿宋_GB2312" w:cs="Times New Roman"/>
          <w:kern w:val="2"/>
          <w:sz w:val="32"/>
          <w:szCs w:val="32"/>
          <w:lang w:val="en-US" w:eastAsia="zh-CN" w:bidi="ar-SA"/>
        </w:rPr>
        <w:t>1238.30</w:t>
      </w:r>
      <w:r>
        <w:rPr>
          <w:rFonts w:hint="eastAsia" w:ascii="Times New Roman" w:hAnsi="Times New Roman" w:eastAsia="仿宋_GB2312" w:cs="Times New Roman"/>
          <w:kern w:val="2"/>
          <w:sz w:val="32"/>
          <w:szCs w:val="32"/>
          <w:lang w:val="en-US" w:eastAsia="zh-CN" w:bidi="ar-SA"/>
        </w:rPr>
        <w:t>万元，项目支出</w:t>
      </w:r>
      <w:r>
        <w:rPr>
          <w:rFonts w:hint="eastAsia" w:eastAsia="仿宋_GB2312" w:cs="Times New Roman"/>
          <w:kern w:val="2"/>
          <w:sz w:val="32"/>
          <w:szCs w:val="32"/>
          <w:lang w:val="en-US" w:eastAsia="zh-CN" w:bidi="ar-SA"/>
        </w:rPr>
        <w:t>14.00</w:t>
      </w:r>
      <w:r>
        <w:rPr>
          <w:rFonts w:hint="eastAsia" w:ascii="Times New Roman" w:hAnsi="Times New Roman" w:eastAsia="仿宋_GB2312" w:cs="Times New Roman"/>
          <w:kern w:val="2"/>
          <w:sz w:val="32"/>
          <w:szCs w:val="32"/>
          <w:lang w:val="en-US" w:eastAsia="zh-CN" w:bidi="ar-SA"/>
        </w:rPr>
        <w:t>万元。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二、部门整体支出管理及使用情况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（一）基本支出情况</w:t>
      </w:r>
    </w:p>
    <w:p>
      <w:pPr>
        <w:pStyle w:val="2"/>
        <w:numPr>
          <w:ilvl w:val="0"/>
          <w:numId w:val="0"/>
        </w:numPr>
        <w:ind w:firstLine="640" w:firstLineChars="200"/>
        <w:rPr>
          <w:rFonts w:hint="eastAsia" w:ascii="仿宋_GB2312" w:hAnsi="宋体" w:eastAsia="仿宋_GB2312"/>
          <w:sz w:val="32"/>
          <w:szCs w:val="32"/>
        </w:rPr>
      </w:pPr>
      <w:r>
        <w:rPr>
          <w:rFonts w:hint="eastAsia" w:ascii="Times New Roman" w:hAnsi="Times New Roman" w:eastAsia="仿宋_GB2312" w:cs="Times New Roman"/>
          <w:kern w:val="2"/>
          <w:sz w:val="32"/>
          <w:szCs w:val="32"/>
          <w:lang w:val="en-US" w:eastAsia="zh-CN" w:bidi="ar-SA"/>
        </w:rPr>
        <w:t>2020年基本支出</w:t>
      </w:r>
      <w:r>
        <w:rPr>
          <w:rFonts w:hint="eastAsia" w:eastAsia="仿宋_GB2312" w:cs="Times New Roman"/>
          <w:kern w:val="2"/>
          <w:sz w:val="32"/>
          <w:szCs w:val="32"/>
          <w:lang w:val="en-US" w:eastAsia="zh-CN" w:bidi="ar-SA"/>
        </w:rPr>
        <w:t>1238.30</w:t>
      </w:r>
      <w:r>
        <w:rPr>
          <w:rFonts w:hint="eastAsia" w:ascii="Times New Roman" w:hAnsi="Times New Roman" w:eastAsia="仿宋_GB2312" w:cs="Times New Roman"/>
          <w:kern w:val="2"/>
          <w:sz w:val="32"/>
          <w:szCs w:val="32"/>
          <w:lang w:val="en-US" w:eastAsia="zh-CN" w:bidi="ar-SA"/>
        </w:rPr>
        <w:t>万元</w:t>
      </w:r>
      <w:r>
        <w:rPr>
          <w:rFonts w:hint="eastAsia" w:eastAsia="仿宋_GB2312" w:cs="Times New Roman"/>
          <w:kern w:val="2"/>
          <w:sz w:val="32"/>
          <w:szCs w:val="32"/>
          <w:lang w:val="en-US" w:eastAsia="zh-CN" w:bidi="ar-SA"/>
        </w:rPr>
        <w:t>，</w:t>
      </w:r>
      <w:r>
        <w:rPr>
          <w:rFonts w:hint="eastAsia" w:ascii="仿宋_GB2312" w:hAnsi="宋体" w:eastAsia="仿宋_GB2312"/>
          <w:sz w:val="32"/>
          <w:szCs w:val="32"/>
        </w:rPr>
        <w:t>是指为保障单位机构正常运转、完成日常工作任务而发生的各项支出，包括人员经费以及日常公用经费。</w:t>
      </w:r>
    </w:p>
    <w:p>
      <w:pPr>
        <w:pStyle w:val="2"/>
        <w:numPr>
          <w:ilvl w:val="0"/>
          <w:numId w:val="0"/>
        </w:numPr>
        <w:ind w:firstLine="640" w:firstLineChars="200"/>
        <w:rPr>
          <w:rFonts w:hint="default"/>
          <w:lang w:val="en-US"/>
        </w:rPr>
      </w:pPr>
      <w:r>
        <w:rPr>
          <w:rFonts w:hint="eastAsia" w:eastAsia="仿宋_GB2312" w:cs="Times New Roman"/>
          <w:kern w:val="2"/>
          <w:sz w:val="32"/>
          <w:szCs w:val="32"/>
          <w:lang w:val="en-US" w:eastAsia="zh-CN" w:bidi="ar-SA"/>
        </w:rPr>
        <w:t>其中政府办公厅（室）及相关机构事务支出共813.19万元，主要用于干部职工工资福利、社保缴纳等人员经费及日常办公经费；其他税收事务支出15.58万元，主要用于乡镇财政资金管理及工作经费，包括基础生活设施维修经费；其他文化和旅游支出125.22万元，主要用于乡镇保洁员工资、农村人居环境“三大行动”整治专项经费及县对乡镇转移支付；其他城市基础设施配套费对应专项债务收入安排的支出12.00万元，包括中罗洪村路灯建设3万元、严胜村公共设施建设3万元、官树下居委会路灯建设3万元、巴油村道路建设3万元；对村民委员会和村党支部的补助272.32万元，主要用于所辖15个村居固补干部工资待遇发放及村级正常运转经费开支。</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项目支出情况</w:t>
      </w:r>
    </w:p>
    <w:p>
      <w:pPr>
        <w:pStyle w:val="2"/>
        <w:numPr>
          <w:ilvl w:val="0"/>
          <w:numId w:val="0"/>
        </w:numPr>
        <w:ind w:firstLine="640" w:firstLineChars="200"/>
        <w:rPr>
          <w:rFonts w:hint="eastAsia" w:ascii="仿宋_GB2312" w:hAnsi="宋体" w:eastAsia="仿宋_GB2312"/>
          <w:sz w:val="32"/>
          <w:szCs w:val="32"/>
        </w:rPr>
      </w:pPr>
      <w:r>
        <w:rPr>
          <w:rFonts w:hint="eastAsia" w:ascii="Times New Roman" w:hAnsi="Times New Roman" w:eastAsia="仿宋_GB2312" w:cs="Times New Roman"/>
          <w:kern w:val="2"/>
          <w:sz w:val="32"/>
          <w:szCs w:val="32"/>
          <w:lang w:val="en-US" w:eastAsia="zh-CN" w:bidi="ar-SA"/>
        </w:rPr>
        <w:t>2020年基本支出</w:t>
      </w:r>
      <w:r>
        <w:rPr>
          <w:rFonts w:hint="eastAsia" w:eastAsia="仿宋_GB2312" w:cs="Times New Roman"/>
          <w:kern w:val="2"/>
          <w:sz w:val="32"/>
          <w:szCs w:val="32"/>
          <w:lang w:val="en-US" w:eastAsia="zh-CN" w:bidi="ar-SA"/>
        </w:rPr>
        <w:t>14.00</w:t>
      </w:r>
      <w:r>
        <w:rPr>
          <w:rFonts w:hint="eastAsia" w:ascii="Times New Roman" w:hAnsi="Times New Roman" w:eastAsia="仿宋_GB2312" w:cs="Times New Roman"/>
          <w:kern w:val="2"/>
          <w:sz w:val="32"/>
          <w:szCs w:val="32"/>
          <w:lang w:val="en-US" w:eastAsia="zh-CN" w:bidi="ar-SA"/>
        </w:rPr>
        <w:t>万元</w:t>
      </w:r>
      <w:r>
        <w:rPr>
          <w:rFonts w:hint="eastAsia" w:eastAsia="仿宋_GB2312" w:cs="Times New Roman"/>
          <w:kern w:val="2"/>
          <w:sz w:val="32"/>
          <w:szCs w:val="32"/>
          <w:lang w:val="en-US" w:eastAsia="zh-CN" w:bidi="ar-SA"/>
        </w:rPr>
        <w:t>，</w:t>
      </w:r>
      <w:r>
        <w:rPr>
          <w:rFonts w:hint="eastAsia" w:ascii="仿宋_GB2312" w:hAnsi="宋体" w:eastAsia="仿宋_GB2312"/>
          <w:sz w:val="32"/>
          <w:szCs w:val="32"/>
        </w:rPr>
        <w:t>是指单位为完成选定行政工作或事业发展目标而发生的支出，包括有关事业发展专项、专项业务费、基本建设支出等。</w:t>
      </w:r>
    </w:p>
    <w:p>
      <w:pPr>
        <w:pStyle w:val="2"/>
        <w:numPr>
          <w:ilvl w:val="0"/>
          <w:numId w:val="0"/>
        </w:numPr>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lang w:eastAsia="zh-CN"/>
        </w:rPr>
        <w:t>其中基层政权建设和社区治理支出</w:t>
      </w:r>
      <w:r>
        <w:rPr>
          <w:rFonts w:hint="eastAsia" w:ascii="仿宋_GB2312" w:hAnsi="宋体" w:eastAsia="仿宋_GB2312"/>
          <w:sz w:val="32"/>
          <w:szCs w:val="32"/>
          <w:lang w:val="en-US" w:eastAsia="zh-CN"/>
        </w:rPr>
        <w:t>2.00万元，主要用于石莲村7/8/9组饮水项目；对村民委员会和村党支部的补助5.00万元，主要用于白莲村综合服务平台操坪硬化3.00万元、2组排水沟修建经费2.00万元；社会福利的彩票公益金支出7.00万元，为中央专项彩票公益金支持地方社会公益事业发展2020年度资金，用于中罗洪居委会文化广场建设7.00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rPr>
      </w:pPr>
      <w:r>
        <w:rPr>
          <w:rFonts w:hint="eastAsia" w:eastAsia="仿宋_GB2312"/>
          <w:sz w:val="32"/>
          <w:szCs w:val="32"/>
        </w:rPr>
        <w:t>（三）</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eastAsia="仿宋_GB2312"/>
          <w:sz w:val="32"/>
          <w:szCs w:val="32"/>
        </w:rPr>
        <w:t>1</w:t>
      </w:r>
      <w:r>
        <w:rPr>
          <w:rFonts w:hint="eastAsia" w:eastAsia="仿宋_GB2312"/>
          <w:sz w:val="32"/>
          <w:szCs w:val="32"/>
          <w:lang w:eastAsia="zh-CN"/>
        </w:rPr>
        <w:t>、</w:t>
      </w:r>
      <w:r>
        <w:rPr>
          <w:rFonts w:hint="eastAsia" w:eastAsia="仿宋_GB2312"/>
          <w:sz w:val="32"/>
          <w:szCs w:val="32"/>
        </w:rPr>
        <w:t>因公出国（境）费用；</w:t>
      </w:r>
    </w:p>
    <w:p>
      <w:pPr>
        <w:pStyle w:val="2"/>
        <w:rPr>
          <w:rFonts w:hint="eastAsia" w:eastAsia="仿宋_GB2312"/>
          <w:lang w:eastAsia="zh-CN"/>
        </w:rPr>
      </w:pPr>
      <w:r>
        <w:rPr>
          <w:rFonts w:hint="eastAsia" w:eastAsia="仿宋_GB2312"/>
          <w:sz w:val="32"/>
          <w:szCs w:val="32"/>
          <w:lang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lang w:val="en-US" w:eastAsia="zh-CN"/>
        </w:rPr>
        <w:t>2、</w:t>
      </w:r>
      <w:r>
        <w:rPr>
          <w:rFonts w:hint="eastAsia" w:eastAsia="仿宋_GB2312"/>
          <w:sz w:val="32"/>
          <w:szCs w:val="32"/>
        </w:rPr>
        <w:t>公务接待费；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eastAsia="宋体"/>
          <w:lang w:eastAsia="zh-CN"/>
        </w:rPr>
      </w:pPr>
      <w:r>
        <w:rPr>
          <w:rFonts w:hint="eastAsia" w:eastAsia="仿宋_GB2312"/>
          <w:sz w:val="32"/>
          <w:szCs w:val="32"/>
          <w:lang w:eastAsia="zh-CN"/>
        </w:rPr>
        <w:t>本年度公务接待费为</w:t>
      </w:r>
      <w:r>
        <w:rPr>
          <w:rFonts w:hint="eastAsia" w:eastAsia="仿宋_GB2312"/>
          <w:sz w:val="32"/>
          <w:szCs w:val="32"/>
          <w:lang w:val="en-US" w:eastAsia="zh-CN"/>
        </w:rPr>
        <w:t>2.24万元，同比增长49.33%，主要因为2020年为脱贫攻坚决胜之年，迎扶贫省检及上级各项工作检查增多导致公务接待费与上年相比有所增加。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lang w:val="en-US" w:eastAsia="zh-CN"/>
        </w:rPr>
        <w:t>3、</w:t>
      </w:r>
      <w:r>
        <w:rPr>
          <w:rFonts w:hint="eastAsia" w:eastAsia="仿宋_GB2312"/>
          <w:sz w:val="32"/>
          <w:szCs w:val="32"/>
        </w:rPr>
        <w:t>公务用车购置及运行费。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lang w:val="en-US"/>
        </w:rPr>
      </w:pPr>
      <w:r>
        <w:rPr>
          <w:rFonts w:hint="eastAsia" w:eastAsia="仿宋_GB2312"/>
          <w:sz w:val="32"/>
          <w:szCs w:val="32"/>
          <w:lang w:eastAsia="zh-CN"/>
        </w:rPr>
        <w:t>本年度</w:t>
      </w:r>
      <w:r>
        <w:rPr>
          <w:rFonts w:hint="eastAsia" w:eastAsia="仿宋_GB2312"/>
          <w:sz w:val="32"/>
          <w:szCs w:val="32"/>
        </w:rPr>
        <w:t>公务用车购置及运行费</w:t>
      </w:r>
      <w:r>
        <w:rPr>
          <w:rFonts w:hint="eastAsia" w:eastAsia="仿宋_GB2312"/>
          <w:sz w:val="32"/>
          <w:szCs w:val="32"/>
          <w:lang w:eastAsia="zh-CN"/>
        </w:rPr>
        <w:t>为</w:t>
      </w:r>
      <w:r>
        <w:rPr>
          <w:rFonts w:hint="eastAsia" w:eastAsia="仿宋_GB2312"/>
          <w:sz w:val="32"/>
          <w:szCs w:val="32"/>
          <w:lang w:val="en-US" w:eastAsia="zh-CN"/>
        </w:rPr>
        <w:t>3.56万元，同比减少2.5%。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三、部门整体支出绩效情况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（一）产出指标完成情况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财政拨款支出主要用于保障我单位机构正常运转、完成日常工作任务以及承担社会保险事业发展相关工作。基本支出，是用于保障机构正常运转的日常支出，包括基本工资、津贴补贴、养老保险、医保等人员经费以及办公费、印刷费、水电费、差旅等日常公用经费。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（二）效益指标完成情况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所有开支均按照财务管理制度执行，资金的使用严格把关，机关的日常工作运行得到保障。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（三）满意度指标完成情况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2020年我镇较好的完成了绩效目标任务，日常管理工作均按照我单位相关管理制度执行，建立了工作有计划、实施有方案、日常有监督的管理机制，工作取得了较好的成效，效能得到了提高、获得了社会公众的好评。</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存在的问题</w:t>
      </w:r>
    </w:p>
    <w:p>
      <w:pPr>
        <w:pStyle w:val="2"/>
        <w:numPr>
          <w:ilvl w:val="0"/>
          <w:numId w:val="0"/>
        </w:numPr>
        <w:ind w:firstLine="640" w:firstLineChars="200"/>
        <w:rPr>
          <w:rFonts w:hint="eastAsia" w:ascii="Times New Roman" w:hAnsi="Times New Roman" w:eastAsia="仿宋_GB2312" w:cs="Times New Roman"/>
          <w:kern w:val="2"/>
          <w:sz w:val="32"/>
          <w:szCs w:val="32"/>
          <w:lang w:val="en-US" w:eastAsia="zh-CN" w:bidi="ar-SA"/>
        </w:rPr>
      </w:pPr>
      <w:r>
        <w:rPr>
          <w:rFonts w:hint="eastAsia"/>
        </w:rPr>
        <w:t>（</w:t>
      </w:r>
      <w:r>
        <w:rPr>
          <w:rFonts w:hint="eastAsia" w:ascii="Times New Roman" w:hAnsi="Times New Roman" w:eastAsia="仿宋_GB2312" w:cs="Times New Roman"/>
          <w:kern w:val="2"/>
          <w:sz w:val="32"/>
          <w:szCs w:val="32"/>
          <w:lang w:val="en-US" w:eastAsia="zh-CN" w:bidi="ar-SA"/>
        </w:rPr>
        <w:t>一）预算绩效观念不强，工作质量待提高 </w:t>
      </w:r>
    </w:p>
    <w:p>
      <w:pPr>
        <w:pStyle w:val="2"/>
        <w:numPr>
          <w:ilvl w:val="0"/>
          <w:numId w:val="0"/>
        </w:numP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部分职能部门对预算绩效管理工作重视程度还不足，缺乏主动性；对预算绩效管理工作的意义、框架、思路、操作规程认识不够深入，申报绩效目标不够明确，设计的评价指标体系不科学、不严谨。 </w:t>
      </w:r>
    </w:p>
    <w:p>
      <w:pPr>
        <w:pStyle w:val="2"/>
        <w:numPr>
          <w:ilvl w:val="0"/>
          <w:numId w:val="0"/>
        </w:numP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（二）评价指标体系不完善，实际操作有难度 </w:t>
      </w:r>
    </w:p>
    <w:p>
      <w:pPr>
        <w:pStyle w:val="2"/>
        <w:numPr>
          <w:ilvl w:val="0"/>
          <w:numId w:val="0"/>
        </w:numP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尽管已有绩效评价共性指标体系，但是对指标具体的设置没有统一的明确规定，没有针对性较强的个性评价指标体系可供预算单位借鉴。同时财政预算支出的范围在逐年扩大，新政策新情况不断出现，现有评价指标的针对性和适应性已降低，直接影响了绩效评价的质量。 </w:t>
      </w:r>
    </w:p>
    <w:p>
      <w:pPr>
        <w:pStyle w:val="2"/>
        <w:numPr>
          <w:ilvl w:val="0"/>
          <w:numId w:val="0"/>
        </w:numP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（三）绩效管理体系不健全，工作流程需优化。 </w:t>
      </w:r>
    </w:p>
    <w:p>
      <w:pPr>
        <w:pStyle w:val="2"/>
        <w:numPr>
          <w:ilvl w:val="0"/>
          <w:numId w:val="0"/>
        </w:numP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一是随着绩效管理工作的逐步深入，绩效管理办法需要进一步完善，相关的工作机制和流程也需健全。二是预算绩效目标编制、预算执行过程中的绩效监控、绩效评价结果的应用等都处于探索起步阶段，工作流程需不断优化。</w:t>
      </w:r>
    </w:p>
    <w:p>
      <w:pPr>
        <w:ind w:firstLine="640" w:firstLineChars="200"/>
        <w:rPr>
          <w:rFonts w:hint="eastAsia" w:ascii="黑体" w:hAnsi="黑体" w:eastAsia="黑体"/>
          <w:sz w:val="32"/>
          <w:szCs w:val="32"/>
        </w:rPr>
      </w:pPr>
      <w:r>
        <w:rPr>
          <w:rFonts w:hint="eastAsia" w:ascii="黑体" w:hAnsi="黑体" w:eastAsia="黑体"/>
          <w:sz w:val="32"/>
          <w:szCs w:val="32"/>
        </w:rPr>
        <w:t>五、改进措施和有关建议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（一）细化预算编制工作，认真做好预算的编制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进一步加强预算管理意识，严格按照预算编制的相关制度和要求进行预算编制；全面编制预算项目，优先保障固定性的、相对刚性的费用支出项目，尽量压缩变动性的、有控制空间的费用项目，进一步提高预算编制的科学性、严谨性和可控性。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（二）加强财务管理，严格财务审核。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在费用报账支付时，按照预算规定的费用项目和用途进行资金使用审核、列报支付、财务核算，杜绝超支现象的发生。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（三）持续抓好“三公”经费控制管理。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严格控制“三公”经费的规模和比例，把关“三公”经费支出的审核、审批，杜绝挪用和挤占其他预算资金行为；进一步细化“三公”经费的管理，合理压缩“三公”经费支出。 </w:t>
      </w:r>
    </w:p>
    <w:p>
      <w:pPr>
        <w:pStyle w:val="2"/>
        <w:jc w:val="right"/>
        <w:rPr>
          <w:rFonts w:hint="eastAsia" w:eastAsia="仿宋_GB2312"/>
          <w:sz w:val="32"/>
          <w:szCs w:val="32"/>
          <w:lang w:val="en-US" w:eastAsia="zh-CN"/>
        </w:rPr>
      </w:pPr>
      <w:r>
        <w:rPr>
          <w:rFonts w:hint="eastAsia" w:eastAsia="仿宋_GB2312"/>
          <w:sz w:val="32"/>
          <w:szCs w:val="32"/>
          <w:lang w:val="en-US" w:eastAsia="zh-CN"/>
        </w:rPr>
        <w:t>罗洪镇人民政府</w:t>
      </w:r>
    </w:p>
    <w:p>
      <w:pPr>
        <w:pStyle w:val="2"/>
        <w:jc w:val="right"/>
        <w:rPr>
          <w:rFonts w:hint="default" w:eastAsia="仿宋_GB2312"/>
          <w:sz w:val="32"/>
          <w:szCs w:val="32"/>
          <w:lang w:val="en-US" w:eastAsia="zh-CN"/>
        </w:rPr>
      </w:pPr>
      <w:r>
        <w:rPr>
          <w:rFonts w:hint="eastAsia" w:eastAsia="仿宋_GB2312"/>
          <w:sz w:val="32"/>
          <w:szCs w:val="32"/>
          <w:lang w:val="en-US" w:eastAsia="zh-CN"/>
        </w:rPr>
        <w:t>2021年8月15</w:t>
      </w:r>
      <w:bookmarkStart w:id="0" w:name="_GoBack"/>
      <w:bookmarkEnd w:id="0"/>
      <w:r>
        <w:rPr>
          <w:rFonts w:hint="eastAsia" w:eastAsia="仿宋_GB2312"/>
          <w:sz w:val="32"/>
          <w:szCs w:val="32"/>
          <w:lang w:val="en-US" w:eastAsia="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D09F45"/>
    <w:multiLevelType w:val="singleLevel"/>
    <w:tmpl w:val="C7D09F45"/>
    <w:lvl w:ilvl="0" w:tentative="0">
      <w:start w:val="3"/>
      <w:numFmt w:val="chineseCounting"/>
      <w:suff w:val="nothing"/>
      <w:lvlText w:val="（%1）"/>
      <w:lvlJc w:val="left"/>
      <w:rPr>
        <w:rFonts w:hint="eastAsia"/>
      </w:rPr>
    </w:lvl>
  </w:abstractNum>
  <w:abstractNum w:abstractNumId="1">
    <w:nsid w:val="EB55D118"/>
    <w:multiLevelType w:val="singleLevel"/>
    <w:tmpl w:val="EB55D118"/>
    <w:lvl w:ilvl="0" w:tentative="0">
      <w:start w:val="2"/>
      <w:numFmt w:val="chineseCounting"/>
      <w:suff w:val="nothing"/>
      <w:lvlText w:val="（%1）"/>
      <w:lvlJc w:val="left"/>
      <w:rPr>
        <w:rFonts w:hint="eastAsia"/>
      </w:rPr>
    </w:lvl>
  </w:abstractNum>
  <w:abstractNum w:abstractNumId="2">
    <w:nsid w:val="FBE4EDA0"/>
    <w:multiLevelType w:val="singleLevel"/>
    <w:tmpl w:val="FBE4EDA0"/>
    <w:lvl w:ilvl="0" w:tentative="0">
      <w:start w:val="4"/>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9B1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0"/>
    <w:pPr>
      <w:ind w:firstLine="640" w:firstLineChars="200"/>
    </w:pPr>
    <w:rPr>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cp:lastModifiedBy>
  <dcterms:modified xsi:type="dcterms:W3CDTF">2021-08-19T08:51:23Z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