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花门街道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510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510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8203.68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8203.68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6679.87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1524.73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三公经费是否比上年度下降：是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26万元，实际采购金额26万元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0万元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年4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完善资产管理制度。加强提高资产的使用率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2、进一步完善财务管理制度。合理规范使用经费。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袁满芬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15842953957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一、部门概况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（一）部门基本情况</w:t>
      </w:r>
    </w:p>
    <w:p>
      <w:pPr>
        <w:snapToGrid w:val="0"/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单位基本情况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花门街道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中心学校2021年12月编制人数为 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510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人，实际人数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510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人，小学教师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286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人，初中教师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224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人，学生总人数为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9601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人，小学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5671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人，初中学生人数为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3930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（二）2021年的重点工作</w:t>
      </w:r>
    </w:p>
    <w:p>
      <w:pPr>
        <w:pStyle w:val="2"/>
        <w:spacing w:line="480" w:lineRule="exact"/>
        <w:ind w:firstLine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2021年度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决算支出为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  <w:lang w:val="en-US" w:eastAsia="zh-CN"/>
        </w:rPr>
        <w:t>8204.6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万元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二、部门整体支出管理及使用情况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（一）基本支出情况</w:t>
      </w:r>
    </w:p>
    <w:p>
      <w:pPr>
        <w:pStyle w:val="2"/>
        <w:spacing w:line="480" w:lineRule="exact"/>
        <w:ind w:firstLine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2021年度决算数为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  <w:lang w:val="en-US" w:eastAsia="zh-CN"/>
        </w:rPr>
        <w:t>8204.6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（二）项目支出情况</w:t>
      </w:r>
    </w:p>
    <w:p>
      <w:pPr>
        <w:pStyle w:val="2"/>
        <w:spacing w:line="480" w:lineRule="exact"/>
        <w:ind w:firstLine="600"/>
        <w:rPr>
          <w:rFonts w:ascii="宋体" w:hAnsi="宋体" w:cs="宋体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2021年年度决算数为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  <w:lang w:val="en-US" w:eastAsia="zh-CN"/>
        </w:rPr>
        <w:t>1524.73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万元，是指单位为完成选定行政工作或事业发展目标而发生的支出，包括有关事业发展专项、专项业务费、基本建设支出等。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我单位项目支出由县教育局统一上报。</w:t>
      </w:r>
    </w:p>
    <w:p>
      <w:pPr>
        <w:numPr>
          <w:ilvl w:val="0"/>
          <w:numId w:val="2"/>
        </w:num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“三公”经费情况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2021年我单位“三公”经费 0万元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1、因公出国(境)费0元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2、公务接待费0万元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3、公务用车费0万元（公务用车运行维护费0万元，公务用车购置费 0 元）。</w:t>
      </w:r>
    </w:p>
    <w:p>
      <w:pPr>
        <w:pStyle w:val="6"/>
        <w:widowControl/>
        <w:spacing w:before="0" w:beforeAutospacing="0" w:after="0" w:afterAutospacing="0" w:line="480" w:lineRule="exact"/>
        <w:ind w:firstLine="600" w:firstLineChars="20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认真履行职责，及时报送财政供养信息、存量资金等有关资料及报表。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存在的问题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3、工会经费等人头经费严重不足。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五、改进措施和有关建议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4、希望财政管理部门能落实好单位的社保缺口经费及工会缺口经费。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exact"/>
        <w:ind w:firstLine="3900" w:firstLineChars="1300"/>
        <w:jc w:val="right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exact"/>
        <w:ind w:firstLine="3900" w:firstLineChars="1300"/>
        <w:jc w:val="center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隆回县</w:t>
      </w: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  <w:lang w:eastAsia="zh-CN"/>
        </w:rPr>
        <w:t>花门街道</w:t>
      </w: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中心学校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center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 xml:space="preserve">                        2022年4月21日</w:t>
      </w: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kern w:val="0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kern w:val="0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B725C9"/>
    <w:multiLevelType w:val="multilevel"/>
    <w:tmpl w:val="55B725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432509"/>
    <w:rsid w:val="006B6CCB"/>
    <w:rsid w:val="007F7267"/>
    <w:rsid w:val="008479C9"/>
    <w:rsid w:val="008552CF"/>
    <w:rsid w:val="00E93609"/>
    <w:rsid w:val="00F53D3C"/>
    <w:rsid w:val="00FF5E8F"/>
    <w:rsid w:val="0E2D5AA4"/>
    <w:rsid w:val="2AD50F6B"/>
    <w:rsid w:val="2B5B3B3D"/>
    <w:rsid w:val="53D90F65"/>
    <w:rsid w:val="5E8227DB"/>
    <w:rsid w:val="67DF1F77"/>
    <w:rsid w:val="7A663873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380</Words>
  <Characters>2168</Characters>
  <Lines>18</Lines>
  <Paragraphs>5</Paragraphs>
  <TotalTime>26</TotalTime>
  <ScaleCrop>false</ScaleCrop>
  <LinksUpToDate>false</LinksUpToDate>
  <CharactersWithSpaces>2543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2022-04-20T06:32:00Z</dcterms:created>
  <dc:creator>曦微。</dc:creator>
  <cp:lastModifiedBy>Administrator</cp:lastModifiedBy>
  <dcterms:modified xsi:type="dcterms:W3CDTF">2022-04-21T02:01:57Z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820CC12656584BBC9EC271DAF53245DF</vt:lpwstr>
  </property>
</Properties>
</file>