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简体" w:hAnsi="宋体" w:eastAsia="方正仿宋简体" w:cs="宋体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kern w:val="0"/>
          <w:sz w:val="32"/>
          <w:szCs w:val="32"/>
        </w:rPr>
        <w:t>附件</w:t>
      </w:r>
      <w:r>
        <w:rPr>
          <w:rFonts w:ascii="方正仿宋简体" w:hAnsi="宋体" w:eastAsia="方正仿宋简体" w:cs="宋体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/>
          <w:bCs/>
          <w:kern w:val="0"/>
          <w:sz w:val="36"/>
          <w:szCs w:val="36"/>
        </w:rPr>
        <w:t>部门整体支出绩效自评基础数据表</w:t>
      </w:r>
    </w:p>
    <w:tbl>
      <w:tblPr>
        <w:tblStyle w:val="7"/>
        <w:tblW w:w="9071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533"/>
        <w:gridCol w:w="1168"/>
        <w:gridCol w:w="2372"/>
        <w:gridCol w:w="605"/>
        <w:gridCol w:w="567"/>
        <w:gridCol w:w="992"/>
        <w:gridCol w:w="560"/>
        <w:gridCol w:w="7"/>
        <w:gridCol w:w="675"/>
        <w:gridCol w:w="459"/>
        <w:gridCol w:w="1062"/>
        <w:gridCol w:w="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b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（</w:t>
            </w:r>
            <w:r>
              <w:rPr>
                <w:rFonts w:ascii="黑体" w:hAnsi="黑体" w:eastAsia="黑体" w:cs="黑体"/>
                <w:b/>
                <w:sz w:val="24"/>
              </w:rPr>
              <w:t>20</w:t>
            </w:r>
            <w:r>
              <w:rPr>
                <w:rFonts w:hint="eastAsia" w:ascii="黑体" w:hAnsi="黑体" w:eastAsia="黑体" w:cs="黑体"/>
                <w:b/>
                <w:sz w:val="24"/>
              </w:rPr>
              <w:t>2</w:t>
            </w:r>
            <w:r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036" w:hRule="exact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299" w:type="dxa"/>
            <w:gridSpan w:val="9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隆回县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高平镇</w:t>
            </w:r>
            <w:r>
              <w:rPr>
                <w:rFonts w:hint="eastAsia" w:ascii="楷体" w:hAnsi="楷体" w:eastAsia="楷体" w:cs="楷体"/>
                <w:szCs w:val="21"/>
              </w:rPr>
              <w:t>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466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</w:tcPr>
          <w:p>
            <w:pPr>
              <w:spacing w:line="540" w:lineRule="exact"/>
              <w:ind w:firstLine="105" w:firstLineChars="50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398</w:t>
            </w:r>
            <w:r>
              <w:rPr>
                <w:rFonts w:hint="eastAsia" w:ascii="楷体" w:hAnsi="楷体" w:eastAsia="楷体" w:cs="楷体"/>
                <w:szCs w:val="21"/>
              </w:rPr>
              <w:t>人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763" w:type="dxa"/>
            <w:gridSpan w:val="5"/>
          </w:tcPr>
          <w:p>
            <w:pPr>
              <w:spacing w:line="540" w:lineRule="exact"/>
              <w:ind w:firstLine="105" w:firstLineChars="50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394</w:t>
            </w:r>
            <w:r>
              <w:rPr>
                <w:rFonts w:hint="eastAsia" w:ascii="楷体" w:hAnsi="楷体" w:eastAsia="楷体" w:cs="楷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56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</w:tcPr>
          <w:p>
            <w:pPr>
              <w:spacing w:line="340" w:lineRule="exact"/>
              <w:jc w:val="left"/>
              <w:rPr>
                <w:rFonts w:hint="eastAsia" w:ascii="楷体" w:hAnsi="楷体" w:eastAsia="楷体" w:cs="楷体"/>
              </w:rPr>
            </w:pPr>
          </w:p>
          <w:p>
            <w:pPr>
              <w:spacing w:line="34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</w:rPr>
              <w:t>研究拟定学校教育发展策略，贯彻和执行党和国家的教育方针、政策、法规。管理和指导学校基础教育工作，确保普及九年义务教育工作成果，管理学校教育经费，执行财务管理制度，负责和指导学校教职工的思想政治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72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6689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682" w:type="dxa"/>
            <w:gridSpan w:val="2"/>
          </w:tcPr>
          <w:p>
            <w:pPr>
              <w:rPr>
                <w:rFonts w:hint="eastAsia" w:ascii="楷体" w:hAnsi="楷体" w:eastAsia="楷体" w:cs="楷体"/>
                <w:szCs w:val="21"/>
              </w:rPr>
            </w:pP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 xml:space="preserve">0    </w:t>
            </w:r>
          </w:p>
        </w:tc>
        <w:tc>
          <w:tcPr>
            <w:tcW w:w="45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062" w:type="dxa"/>
            <w:vMerge w:val="restart"/>
          </w:tcPr>
          <w:p>
            <w:pPr>
              <w:spacing w:line="560" w:lineRule="exac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6689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55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560" w:lineRule="exact"/>
              <w:ind w:firstLine="315" w:firstLineChars="1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682" w:type="dxa"/>
            <w:gridSpan w:val="2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</w:t>
            </w:r>
          </w:p>
        </w:tc>
        <w:tc>
          <w:tcPr>
            <w:tcW w:w="45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62" w:type="dxa"/>
            <w:vMerge w:val="continue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6689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</w:t>
            </w:r>
          </w:p>
        </w:tc>
        <w:tc>
          <w:tcPr>
            <w:tcW w:w="459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062" w:type="dxa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6689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708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</w:t>
            </w:r>
          </w:p>
        </w:tc>
        <w:tc>
          <w:tcPr>
            <w:tcW w:w="1559" w:type="dxa"/>
            <w:gridSpan w:val="3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675" w:type="dxa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6" w:hRule="exact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43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上</w:t>
            </w:r>
            <w:r>
              <w:rPr>
                <w:rFonts w:hint="eastAsia" w:ascii="楷体" w:hAnsi="楷体" w:eastAsia="楷体" w:cs="楷体"/>
                <w:szCs w:val="21"/>
              </w:rPr>
              <w:t>年度下降：是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125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4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16</w:t>
            </w:r>
            <w:r>
              <w:rPr>
                <w:rFonts w:hint="eastAsia" w:ascii="楷体" w:hAnsi="楷体" w:eastAsia="楷体" w:cs="楷体"/>
                <w:szCs w:val="21"/>
              </w:rPr>
              <w:t>万元，实际采购金额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16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74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 xml:space="preserve"> 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A3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0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202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Cs w:val="21"/>
              </w:rPr>
              <w:t>年4月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21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28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 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  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1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299" w:type="dxa"/>
            <w:gridSpan w:val="9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41" w:hRule="atLeast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ind w:firstLine="105" w:firstLineChars="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</w:rPr>
              <w:t>贯彻和执行党和国家的教育方针、政策、法规。学校基础教育工作有序进行，普及九年义务教，工作成果突出。执行财务管理制度，严控三公经费，学校教育经费管理规范。学校教职工的政治思想纯洁高尚，学校资产管理规范，使用率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697" w:hRule="atLeast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34" w:hRule="atLeast"/>
        </w:trPr>
        <w:tc>
          <w:tcPr>
            <w:tcW w:w="533" w:type="dxa"/>
            <w:vAlign w:val="center"/>
          </w:tcPr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问题与建议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ascii="楷体" w:hAnsi="楷体" w:eastAsia="楷体" w:cs="楷体"/>
              </w:rPr>
              <w:t>1</w:t>
            </w:r>
            <w:r>
              <w:rPr>
                <w:rFonts w:hint="eastAsia" w:ascii="楷体" w:hAnsi="楷体" w:eastAsia="楷体" w:cs="楷体"/>
              </w:rPr>
              <w:t>、完善资产管理制度</w:t>
            </w:r>
            <w:r>
              <w:rPr>
                <w:rFonts w:hint="eastAsia" w:ascii="楷体" w:hAnsi="楷体" w:eastAsia="楷体" w:cs="楷体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</w:rPr>
              <w:t>加强提高资产的使用率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;</w:t>
            </w:r>
          </w:p>
          <w:p>
            <w:pPr>
              <w:numPr>
                <w:ilvl w:val="0"/>
                <w:numId w:val="1"/>
              </w:num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进一步完善财务管理制度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,</w:t>
            </w:r>
            <w:r>
              <w:rPr>
                <w:rFonts w:hint="eastAsia" w:ascii="楷体" w:hAnsi="楷体" w:eastAsia="楷体" w:cs="楷体"/>
              </w:rPr>
              <w:t>合理规范使用经费。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974" w:hRule="atLeast"/>
        </w:trPr>
        <w:tc>
          <w:tcPr>
            <w:tcW w:w="533" w:type="dxa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467" w:type="dxa"/>
            <w:gridSpan w:val="10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rPr>
          <w:szCs w:val="21"/>
        </w:rPr>
      </w:pPr>
      <w:r>
        <w:rPr>
          <w:rFonts w:hint="eastAsia" w:ascii="宋体" w:hAnsi="宋体"/>
          <w:szCs w:val="21"/>
        </w:rPr>
        <w:t>填报人：</w:t>
      </w:r>
      <w:r>
        <w:rPr>
          <w:rFonts w:hint="eastAsia" w:ascii="宋体" w:hAnsi="宋体"/>
          <w:szCs w:val="21"/>
          <w:lang w:val="en-US" w:eastAsia="zh-CN"/>
        </w:rPr>
        <w:t>袁德晶</w:t>
      </w:r>
      <w:r>
        <w:rPr>
          <w:rFonts w:ascii="宋体" w:hAnsi="宋体"/>
          <w:szCs w:val="21"/>
        </w:rPr>
        <w:t xml:space="preserve">            </w:t>
      </w:r>
      <w:r>
        <w:rPr>
          <w:rFonts w:hint="eastAsia" w:ascii="宋体" w:hAnsi="宋体"/>
          <w:szCs w:val="21"/>
        </w:rPr>
        <w:t>联系电话：</w:t>
      </w:r>
      <w:r>
        <w:rPr>
          <w:rFonts w:hint="eastAsia" w:ascii="宋体" w:hAnsi="宋体"/>
          <w:szCs w:val="21"/>
          <w:lang w:val="en-US" w:eastAsia="zh-CN"/>
        </w:rPr>
        <w:t>15273939677</w:t>
      </w:r>
      <w:r>
        <w:rPr>
          <w:rFonts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</w:rPr>
        <w:t>时间：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202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4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2</w:t>
      </w:r>
      <w:r>
        <w:rPr>
          <w:rFonts w:hint="eastAsia" w:ascii="宋体" w:hAnsi="宋体"/>
          <w:szCs w:val="21"/>
          <w:lang w:val="en-US" w:eastAsia="zh-CN"/>
        </w:rPr>
        <w:t>6</w:t>
      </w:r>
      <w:r>
        <w:rPr>
          <w:rFonts w:hint="eastAsia" w:ascii="宋体" w:hAnsi="宋体"/>
          <w:szCs w:val="21"/>
        </w:rPr>
        <w:t>日</w:t>
      </w:r>
    </w:p>
    <w:p>
      <w:pPr>
        <w:spacing w:line="560" w:lineRule="exact"/>
        <w:rPr>
          <w:rFonts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>
      <w:pPr>
        <w:spacing w:line="560" w:lineRule="exact"/>
        <w:rPr>
          <w:rFonts w:eastAsia="黑体"/>
          <w:kern w:val="0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ascii="黑体" w:hAnsi="宋体" w:eastAsia="黑体" w:cs="宋体"/>
          <w:kern w:val="0"/>
          <w:sz w:val="32"/>
          <w:szCs w:val="32"/>
        </w:rPr>
        <w:t>4</w:t>
      </w:r>
    </w:p>
    <w:p>
      <w:pPr>
        <w:spacing w:line="600" w:lineRule="exact"/>
        <w:jc w:val="center"/>
        <w:rPr>
          <w:rFonts w:ascii="方正小标宋简体" w:eastAsia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/>
          <w:bCs/>
          <w:kern w:val="0"/>
          <w:sz w:val="36"/>
          <w:szCs w:val="36"/>
        </w:rPr>
        <w:t>部门整体支出绩效自评报告</w:t>
      </w:r>
    </w:p>
    <w:p>
      <w:pPr>
        <w:jc w:val="center"/>
        <w:rPr>
          <w:rFonts w:eastAsia="仿宋_GB2312"/>
          <w:b/>
          <w:sz w:val="32"/>
          <w:szCs w:val="32"/>
        </w:rPr>
      </w:pPr>
    </w:p>
    <w:p>
      <w:pPr>
        <w:ind w:firstLine="420" w:firstLineChars="200"/>
      </w:pPr>
    </w:p>
    <w:p>
      <w:pPr>
        <w:spacing w:line="60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一、部门概况</w:t>
      </w:r>
    </w:p>
    <w:p>
      <w:pPr>
        <w:spacing w:line="600" w:lineRule="exact"/>
        <w:ind w:firstLine="482" w:firstLineChars="15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（一）部门基本情况</w:t>
      </w:r>
    </w:p>
    <w:p>
      <w:pPr>
        <w:snapToGrid w:val="0"/>
        <w:spacing w:line="520" w:lineRule="exact"/>
        <w:ind w:firstLine="700" w:firstLineChars="25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单位基本情况：</w:t>
      </w:r>
    </w:p>
    <w:p>
      <w:pPr>
        <w:snapToGrid w:val="0"/>
        <w:spacing w:line="520" w:lineRule="exact"/>
        <w:ind w:firstLine="700" w:firstLineChars="25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隆回县高平镇</w:t>
      </w:r>
      <w:r>
        <w:rPr>
          <w:rFonts w:hint="eastAsia" w:ascii="楷体" w:hAnsi="楷体" w:eastAsia="楷体" w:cs="楷体"/>
          <w:sz w:val="28"/>
          <w:szCs w:val="28"/>
        </w:rPr>
        <w:t>中心学校202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 w:cs="楷体"/>
          <w:sz w:val="28"/>
          <w:szCs w:val="28"/>
        </w:rPr>
        <w:t>年12月编制人数为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398</w:t>
      </w:r>
      <w:r>
        <w:rPr>
          <w:rFonts w:hint="eastAsia" w:ascii="楷体" w:hAnsi="楷体" w:eastAsia="楷体" w:cs="楷体"/>
          <w:sz w:val="28"/>
          <w:szCs w:val="28"/>
        </w:rPr>
        <w:t>人，实际在职人数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394</w:t>
      </w:r>
      <w:r>
        <w:rPr>
          <w:rFonts w:hint="eastAsia" w:ascii="楷体" w:hAnsi="楷体" w:eastAsia="楷体" w:cs="楷体"/>
          <w:sz w:val="28"/>
          <w:szCs w:val="28"/>
        </w:rPr>
        <w:t>人（其中在职在编教师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369</w:t>
      </w:r>
      <w:r>
        <w:rPr>
          <w:rFonts w:hint="eastAsia" w:ascii="楷体" w:hAnsi="楷体" w:eastAsia="楷体" w:cs="楷体"/>
          <w:sz w:val="28"/>
          <w:szCs w:val="28"/>
        </w:rPr>
        <w:t>人，特岗教师人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25</w:t>
      </w:r>
      <w:r>
        <w:rPr>
          <w:rFonts w:hint="eastAsia" w:ascii="楷体" w:hAnsi="楷体" w:eastAsia="楷体" w:cs="楷体"/>
          <w:sz w:val="28"/>
          <w:szCs w:val="28"/>
        </w:rPr>
        <w:t>），退休教师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228</w:t>
      </w:r>
      <w:r>
        <w:rPr>
          <w:rFonts w:hint="eastAsia" w:ascii="楷体" w:hAnsi="楷体" w:eastAsia="楷体" w:cs="楷体"/>
          <w:sz w:val="28"/>
          <w:szCs w:val="28"/>
        </w:rPr>
        <w:t>人。小学教师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237</w:t>
      </w:r>
      <w:r>
        <w:rPr>
          <w:rFonts w:hint="eastAsia" w:ascii="楷体" w:hAnsi="楷体" w:eastAsia="楷体" w:cs="楷体"/>
          <w:sz w:val="28"/>
          <w:szCs w:val="28"/>
        </w:rPr>
        <w:t>人，初中教师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157</w:t>
      </w:r>
      <w:r>
        <w:rPr>
          <w:rFonts w:hint="eastAsia" w:ascii="楷体" w:hAnsi="楷体" w:eastAsia="楷体" w:cs="楷体"/>
          <w:sz w:val="28"/>
          <w:szCs w:val="28"/>
        </w:rPr>
        <w:t>人，学生总人数为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6415</w:t>
      </w:r>
      <w:r>
        <w:rPr>
          <w:rFonts w:hint="eastAsia" w:ascii="楷体" w:hAnsi="楷体" w:eastAsia="楷体" w:cs="楷体"/>
          <w:sz w:val="28"/>
          <w:szCs w:val="28"/>
        </w:rPr>
        <w:t>人，小学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生人数为4156</w:t>
      </w:r>
      <w:r>
        <w:rPr>
          <w:rFonts w:hint="eastAsia" w:ascii="楷体" w:hAnsi="楷体" w:eastAsia="楷体" w:cs="楷体"/>
          <w:sz w:val="28"/>
          <w:szCs w:val="28"/>
        </w:rPr>
        <w:t>人，初中生人数为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2259</w:t>
      </w:r>
      <w:r>
        <w:rPr>
          <w:rFonts w:hint="eastAsia" w:ascii="楷体" w:hAnsi="楷体" w:eastAsia="楷体" w:cs="楷体"/>
          <w:sz w:val="28"/>
          <w:szCs w:val="28"/>
        </w:rPr>
        <w:t>人。</w:t>
      </w:r>
    </w:p>
    <w:p>
      <w:pPr>
        <w:snapToGrid w:val="0"/>
        <w:spacing w:line="520" w:lineRule="exact"/>
        <w:ind w:firstLine="560" w:firstLineChars="200"/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（二）</w:t>
      </w:r>
      <w:r>
        <w:rPr>
          <w:rFonts w:eastAsia="仿宋_GB2312"/>
          <w:b/>
          <w:sz w:val="32"/>
          <w:szCs w:val="32"/>
        </w:rPr>
        <w:t>20</w:t>
      </w:r>
      <w:r>
        <w:rPr>
          <w:rFonts w:hint="eastAsia" w:eastAsia="仿宋_GB2312"/>
          <w:b/>
          <w:sz w:val="32"/>
          <w:szCs w:val="32"/>
        </w:rPr>
        <w:t>2</w:t>
      </w:r>
      <w:r>
        <w:rPr>
          <w:rFonts w:hint="eastAsia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eastAsia="仿宋_GB2312"/>
          <w:b/>
          <w:sz w:val="32"/>
          <w:szCs w:val="32"/>
        </w:rPr>
        <w:t>年的重点工作</w:t>
      </w:r>
    </w:p>
    <w:p>
      <w:pPr>
        <w:snapToGrid w:val="0"/>
        <w:spacing w:line="520" w:lineRule="exact"/>
        <w:ind w:firstLine="700" w:firstLineChars="2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研究拟定学校教育发展策略，贯彻和执行党和国家的教育方针、政策、法规。管理和指导学校基础教育工作，确保普及九年义务教育工作成果，管理学校教育经费，执行财务管理制度，负责和指导学校教职工的思想政治工作。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（三）部门整体支出情况</w:t>
      </w:r>
    </w:p>
    <w:p>
      <w:pPr>
        <w:snapToGrid w:val="0"/>
        <w:spacing w:line="520" w:lineRule="exact"/>
        <w:ind w:firstLine="700" w:firstLineChars="2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年度决算支出为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6689</w:t>
      </w:r>
      <w:r>
        <w:rPr>
          <w:rFonts w:hint="eastAsia" w:ascii="仿宋_GB2312" w:eastAsia="仿宋_GB2312"/>
          <w:sz w:val="28"/>
          <w:szCs w:val="28"/>
        </w:rPr>
        <w:t>万元。</w:t>
      </w:r>
    </w:p>
    <w:p>
      <w:pPr>
        <w:snapToGrid w:val="0"/>
        <w:spacing w:line="520" w:lineRule="exact"/>
        <w:ind w:firstLine="700" w:firstLineChars="250"/>
        <w:rPr>
          <w:rFonts w:ascii="仿宋_GB2312" w:eastAsia="仿宋_GB2312"/>
          <w:sz w:val="28"/>
          <w:szCs w:val="28"/>
        </w:rPr>
      </w:pPr>
    </w:p>
    <w:p>
      <w:pPr>
        <w:spacing w:line="60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二、部门整体支出管理及使用情况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（一）基本支出情况</w:t>
      </w:r>
    </w:p>
    <w:p>
      <w:pPr>
        <w:pStyle w:val="2"/>
        <w:ind w:firstLine="700" w:firstLineChars="250"/>
      </w:pP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202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年度决算数为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6689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万元，是指为保障单位机构正常运转、完成日常工作任务而发生的各项支出，包括用于基本工资、津贴补贴等人员经费以及办公费、印刷费、水电费及办公设备购置等日常公用经费。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（二）项目支出情况</w:t>
      </w:r>
    </w:p>
    <w:p>
      <w:pPr>
        <w:pStyle w:val="2"/>
        <w:ind w:firstLine="560"/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202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年年度决算数为0万元，是指单位为完成选定行政工作或事业发展目标而发生的支出，包括有关事业发展专项、专项业务费、基本建设支出等。我单位项目支出由县教育局统一上报。</w:t>
      </w:r>
    </w:p>
    <w:p>
      <w:pPr>
        <w:pStyle w:val="2"/>
        <w:ind w:firstLine="700" w:firstLineChars="250"/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</w:pPr>
    </w:p>
    <w:p>
      <w:pPr>
        <w:pStyle w:val="2"/>
        <w:ind w:firstLine="643"/>
        <w:rPr>
          <w:rFonts w:ascii="楷体" w:hAnsi="楷体" w:eastAsia="楷体" w:cs="楷体"/>
          <w:b/>
          <w:color w:val="333333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color w:val="333333"/>
          <w:szCs w:val="32"/>
          <w:shd w:val="clear" w:color="auto" w:fill="FFFFFF"/>
        </w:rPr>
        <w:t>（三）</w:t>
      </w:r>
      <w:r>
        <w:rPr>
          <w:rFonts w:ascii="楷体" w:hAnsi="楷体" w:eastAsia="楷体" w:cs="楷体"/>
          <w:b/>
          <w:color w:val="333333"/>
          <w:szCs w:val="32"/>
          <w:shd w:val="clear" w:color="auto" w:fill="FFFFFF"/>
        </w:rPr>
        <w:t>“</w:t>
      </w:r>
      <w:r>
        <w:rPr>
          <w:rFonts w:hint="eastAsia" w:ascii="楷体" w:hAnsi="楷体" w:eastAsia="楷体" w:cs="楷体"/>
          <w:b/>
          <w:color w:val="333333"/>
          <w:szCs w:val="32"/>
          <w:shd w:val="clear" w:color="auto" w:fill="FFFFFF"/>
        </w:rPr>
        <w:t>三公</w:t>
      </w:r>
      <w:r>
        <w:rPr>
          <w:rFonts w:ascii="楷体" w:hAnsi="楷体" w:eastAsia="楷体" w:cs="楷体"/>
          <w:b/>
          <w:color w:val="333333"/>
          <w:szCs w:val="32"/>
          <w:shd w:val="clear" w:color="auto" w:fill="FFFFFF"/>
        </w:rPr>
        <w:t>”</w:t>
      </w:r>
      <w:r>
        <w:rPr>
          <w:rFonts w:hint="eastAsia" w:ascii="楷体" w:hAnsi="楷体" w:eastAsia="楷体" w:cs="楷体"/>
          <w:b/>
          <w:color w:val="333333"/>
          <w:szCs w:val="32"/>
          <w:shd w:val="clear" w:color="auto" w:fill="FFFFFF"/>
        </w:rPr>
        <w:t>经费情况</w:t>
      </w:r>
    </w:p>
    <w:p>
      <w:pPr>
        <w:pStyle w:val="2"/>
        <w:ind w:firstLine="700" w:firstLineChars="250"/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202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年我单位“三公”经费 0万元。</w:t>
      </w:r>
    </w:p>
    <w:p>
      <w:pPr>
        <w:pStyle w:val="2"/>
        <w:ind w:firstLine="700" w:firstLineChars="250"/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1、因公出国(境)费0元；</w:t>
      </w:r>
    </w:p>
    <w:p>
      <w:pPr>
        <w:pStyle w:val="2"/>
        <w:ind w:firstLine="700" w:firstLineChars="250"/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2、公务接待费0万元；</w:t>
      </w:r>
    </w:p>
    <w:p>
      <w:pPr>
        <w:pStyle w:val="2"/>
        <w:ind w:firstLine="700" w:firstLineChars="250"/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3、公务用车费0万元（公务用车运行维护费0万元，公务用车购置费 0 元）。</w:t>
      </w:r>
    </w:p>
    <w:p>
      <w:pPr>
        <w:pStyle w:val="2"/>
        <w:ind w:firstLine="700" w:firstLineChars="250"/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</w:pPr>
    </w:p>
    <w:p>
      <w:pPr>
        <w:pStyle w:val="6"/>
        <w:widowControl/>
        <w:spacing w:before="0" w:beforeAutospacing="0" w:after="0" w:afterAutospacing="0" w:line="480" w:lineRule="auto"/>
        <w:ind w:firstLine="643" w:firstLineChars="200"/>
        <w:jc w:val="both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三、部门整体支出绩效情况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rPr>
          <w:rFonts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财务管理制度建设情况：资金拨付严格按程序申报、审批，合理合规使用资金，确保财政资金安全。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rPr>
          <w:rFonts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资产管理：及时按照要求报送资产情况报表，确保各项资产核算准确、帐实相符、管理到位。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rPr>
          <w:rFonts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预决算公开：及时在县人民政府门户网站上进行了预决算公开。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rPr>
          <w:rFonts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“三公经费”控制情况：能严格遵守各项规章制度，严控“三公”经费支出，并及时在县人民政府门户网站上对“三公”经费情况进行公示。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rPr>
          <w:rFonts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认真履行职责，及时报送财政供养信息、存量资金等有关资料及报表。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rPr>
          <w:rFonts w:ascii="楷体" w:hAnsi="楷体" w:eastAsia="楷体" w:cs="楷体"/>
          <w:color w:val="000000"/>
          <w:sz w:val="28"/>
          <w:szCs w:val="28"/>
        </w:rPr>
      </w:pPr>
    </w:p>
    <w:p>
      <w:pPr>
        <w:pStyle w:val="6"/>
        <w:widowControl/>
        <w:spacing w:before="0" w:beforeAutospacing="0" w:after="0" w:afterAutospacing="0" w:line="480" w:lineRule="auto"/>
        <w:ind w:firstLine="643" w:firstLineChars="200"/>
        <w:jc w:val="both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四、存在的问题</w:t>
      </w:r>
    </w:p>
    <w:p>
      <w:pPr>
        <w:pStyle w:val="6"/>
        <w:widowControl/>
        <w:spacing w:before="0" w:beforeAutospacing="0" w:after="0" w:afterAutospacing="0" w:line="240" w:lineRule="atLeast"/>
        <w:ind w:firstLine="560" w:firstLineChars="200"/>
        <w:jc w:val="both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1、预算编制工作有待细化。预算编制不够明确和细化，预算编制的合理性需要提高，预算执行力度还要进一步加强。</w:t>
      </w:r>
    </w:p>
    <w:p>
      <w:pPr>
        <w:pStyle w:val="6"/>
        <w:widowControl/>
        <w:spacing w:before="0" w:beforeAutospacing="0" w:after="0" w:afterAutospacing="0" w:line="240" w:lineRule="atLeast"/>
        <w:ind w:firstLine="560" w:firstLineChars="200"/>
        <w:jc w:val="both"/>
        <w:rPr>
          <w:rFonts w:ascii="楷体" w:hAnsi="楷体" w:eastAsia="楷体" w:cs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2、公用经费的支出数大于预算数。</w:t>
      </w:r>
    </w:p>
    <w:p>
      <w:pPr>
        <w:pStyle w:val="6"/>
        <w:widowControl/>
        <w:spacing w:before="0" w:beforeAutospacing="0" w:after="0" w:afterAutospacing="0" w:line="240" w:lineRule="atLeast"/>
        <w:ind w:firstLine="560" w:firstLineChars="200"/>
        <w:jc w:val="both"/>
        <w:rPr>
          <w:rFonts w:ascii="楷体" w:hAnsi="楷体" w:eastAsia="楷体" w:cs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3、工会经费等人头经费严重不足。</w:t>
      </w:r>
    </w:p>
    <w:p>
      <w:pPr>
        <w:pStyle w:val="6"/>
        <w:widowControl/>
        <w:spacing w:before="0" w:beforeAutospacing="0" w:after="0" w:afterAutospacing="0" w:line="240" w:lineRule="atLeast"/>
        <w:ind w:firstLine="560" w:firstLineChars="200"/>
        <w:jc w:val="both"/>
        <w:rPr>
          <w:rFonts w:ascii="楷体" w:hAnsi="楷体" w:eastAsia="楷体" w:cs="楷体"/>
          <w:sz w:val="28"/>
          <w:szCs w:val="28"/>
        </w:rPr>
      </w:pPr>
    </w:p>
    <w:p>
      <w:pPr>
        <w:spacing w:line="60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五、改进措施和有关建议</w:t>
      </w:r>
    </w:p>
    <w:p>
      <w:pPr>
        <w:pStyle w:val="2"/>
        <w:ind w:firstLine="640"/>
      </w:pPr>
    </w:p>
    <w:p>
      <w:pPr>
        <w:pStyle w:val="6"/>
        <w:widowControl/>
        <w:spacing w:before="0" w:beforeAutospacing="0" w:after="0" w:afterAutospacing="0" w:line="240" w:lineRule="atLeast"/>
        <w:ind w:firstLine="420"/>
        <w:jc w:val="both"/>
        <w:rPr>
          <w:rFonts w:ascii="楷体" w:hAnsi="楷体" w:eastAsia="楷体" w:cs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1、细化预算编制工作，认真做好预算的编制。进一步加强单位内部机构各股室的预算管理意识，严格按照预算编制的相关制度和要求进行预算编制，尽量压缩变动性的、有控制空间的费用项目，进一步提高预算编制的科学性、严谨性和可控性。</w:t>
      </w:r>
    </w:p>
    <w:p>
      <w:pPr>
        <w:pStyle w:val="6"/>
        <w:widowControl/>
        <w:spacing w:before="0" w:beforeAutospacing="0" w:after="0" w:afterAutospacing="0" w:line="240" w:lineRule="atLeast"/>
        <w:ind w:firstLine="420"/>
        <w:jc w:val="both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2、加强财务管理，严格财务审核。加强单位财务管理，在费用报账支付时，按照预算规定的费用项目和用途进行资金使用审核、列报支付、财务核算，杜绝超支现象的发生。</w:t>
      </w:r>
    </w:p>
    <w:p>
      <w:pPr>
        <w:pStyle w:val="6"/>
        <w:widowControl/>
        <w:spacing w:before="0" w:beforeAutospacing="0" w:after="0" w:afterAutospacing="0" w:line="240" w:lineRule="atLeast"/>
        <w:ind w:firstLine="420"/>
        <w:jc w:val="both"/>
        <w:rPr>
          <w:rFonts w:ascii="楷体" w:hAnsi="楷体" w:eastAsia="楷体" w:cs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3、完善资产管理，抓好“三公”经费控制。把关“三公”经费支出的审核、审批，杜绝挪用和挤占其他预算资金行为；合理压缩“三公”经费支出。</w:t>
      </w:r>
    </w:p>
    <w:p>
      <w:pPr>
        <w:pStyle w:val="6"/>
        <w:widowControl/>
        <w:spacing w:before="0" w:beforeAutospacing="0" w:after="0" w:afterAutospacing="0" w:line="240" w:lineRule="atLeast"/>
        <w:ind w:firstLine="420"/>
        <w:jc w:val="both"/>
        <w:rPr>
          <w:rFonts w:ascii="楷体" w:hAnsi="楷体" w:eastAsia="楷体" w:cs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4、希望财政管理部门能落实好单位的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  <w:lang w:val="en-US" w:eastAsia="zh-CN"/>
        </w:rPr>
        <w:t>社保缺口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经费及工会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  <w:lang w:val="en-US" w:eastAsia="zh-CN"/>
        </w:rPr>
        <w:t>缺口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经费。</w:t>
      </w:r>
    </w:p>
    <w:p>
      <w:pPr>
        <w:pStyle w:val="6"/>
        <w:widowControl/>
        <w:spacing w:before="0" w:beforeAutospacing="0" w:after="0" w:afterAutospacing="0" w:line="240" w:lineRule="atLeast"/>
        <w:ind w:firstLine="420"/>
        <w:jc w:val="both"/>
        <w:rPr>
          <w:rFonts w:ascii="楷体" w:hAnsi="楷体" w:eastAsia="楷体" w:cs="楷体"/>
          <w:sz w:val="28"/>
          <w:szCs w:val="28"/>
          <w:shd w:val="clear" w:color="auto" w:fill="FFFFFF"/>
        </w:rPr>
      </w:pPr>
    </w:p>
    <w:p>
      <w:pPr>
        <w:pStyle w:val="6"/>
        <w:widowControl/>
        <w:spacing w:before="0" w:beforeAutospacing="0" w:after="0" w:afterAutospacing="0" w:line="240" w:lineRule="atLeast"/>
        <w:ind w:firstLine="3640" w:firstLineChars="1300"/>
        <w:jc w:val="right"/>
        <w:rPr>
          <w:rFonts w:ascii="楷体" w:hAnsi="楷体" w:eastAsia="楷体" w:cs="楷体"/>
          <w:sz w:val="28"/>
          <w:szCs w:val="28"/>
          <w:shd w:val="clear" w:color="auto" w:fill="FFFFFF"/>
        </w:rPr>
      </w:pPr>
    </w:p>
    <w:p>
      <w:pPr>
        <w:pStyle w:val="6"/>
        <w:widowControl/>
        <w:spacing w:before="0" w:beforeAutospacing="0" w:after="0" w:afterAutospacing="0" w:line="240" w:lineRule="atLeast"/>
        <w:ind w:firstLine="3640" w:firstLineChars="1300"/>
        <w:jc w:val="right"/>
        <w:rPr>
          <w:rFonts w:ascii="楷体" w:hAnsi="楷体" w:eastAsia="楷体" w:cs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隆回县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  <w:lang w:val="en-US" w:eastAsia="zh-CN"/>
        </w:rPr>
        <w:t>高平镇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中心学校</w:t>
      </w:r>
    </w:p>
    <w:p>
      <w:pPr>
        <w:pStyle w:val="6"/>
        <w:widowControl/>
        <w:spacing w:before="0" w:beforeAutospacing="0" w:after="0" w:afterAutospacing="0" w:line="240" w:lineRule="atLeast"/>
        <w:ind w:firstLine="3640" w:firstLineChars="1300"/>
        <w:jc w:val="right"/>
        <w:rPr>
          <w:rFonts w:ascii="楷体" w:hAnsi="楷体" w:eastAsia="楷体" w:cs="楷体"/>
          <w:sz w:val="28"/>
          <w:szCs w:val="28"/>
          <w:shd w:val="clear" w:color="auto" w:fill="FFFFFF"/>
        </w:rPr>
      </w:pPr>
    </w:p>
    <w:p>
      <w:pPr>
        <w:pStyle w:val="6"/>
        <w:widowControl/>
        <w:spacing w:before="0" w:beforeAutospacing="0" w:after="0" w:afterAutospacing="0" w:line="240" w:lineRule="atLeast"/>
        <w:ind w:firstLine="420"/>
        <w:jc w:val="right"/>
        <w:rPr>
          <w:rFonts w:ascii="楷体" w:hAnsi="楷体" w:eastAsia="楷体" w:cs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 xml:space="preserve">                            202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年4月2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  <w:lang w:val="en-US" w:eastAsia="zh-CN"/>
        </w:rPr>
        <w:t>6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日</w:t>
      </w:r>
    </w:p>
    <w:p>
      <w:pPr>
        <w:spacing w:line="600" w:lineRule="exact"/>
        <w:rPr>
          <w:rFonts w:eastAsia="仿宋_GB2312"/>
          <w:sz w:val="28"/>
          <w:szCs w:val="28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/>
    <w:p/>
    <w:p/>
    <w:p/>
    <w:sectPr>
      <w:headerReference r:id="rId3" w:type="default"/>
      <w:footerReference r:id="rId4" w:type="default"/>
      <w:footerReference r:id="rId5" w:type="even"/>
      <w:pgSz w:w="11905" w:h="16837"/>
      <w:pgMar w:top="1418" w:right="1588" w:bottom="1418" w:left="1588" w:header="720" w:footer="1701" w:gutter="0"/>
      <w:pgNumType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rFonts w:hint="eastAsia" w:cs="宋体"/>
      </w:rPr>
      <w:t>—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Style w:val="9"/>
        <w:rFonts w:hint="eastAsia" w:cs="宋体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CB32E1"/>
    <w:multiLevelType w:val="singleLevel"/>
    <w:tmpl w:val="4CCB32E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xNDMyMDFiN2JkYjVmM2FkZjQzNjQyMGI1YjdhNjAifQ=="/>
  </w:docVars>
  <w:rsids>
    <w:rsidRoot w:val="7B711489"/>
    <w:rsid w:val="00057C7B"/>
    <w:rsid w:val="0016226A"/>
    <w:rsid w:val="00267812"/>
    <w:rsid w:val="003B7D59"/>
    <w:rsid w:val="00427905"/>
    <w:rsid w:val="004809DC"/>
    <w:rsid w:val="004900AD"/>
    <w:rsid w:val="008A0037"/>
    <w:rsid w:val="00947949"/>
    <w:rsid w:val="00AA356E"/>
    <w:rsid w:val="00B776E5"/>
    <w:rsid w:val="00BE00C6"/>
    <w:rsid w:val="00CA57FD"/>
    <w:rsid w:val="02DA2291"/>
    <w:rsid w:val="16B34BE9"/>
    <w:rsid w:val="2EA83414"/>
    <w:rsid w:val="31830071"/>
    <w:rsid w:val="31AA3DFB"/>
    <w:rsid w:val="44F91E86"/>
    <w:rsid w:val="5B930B8F"/>
    <w:rsid w:val="5CB21B90"/>
    <w:rsid w:val="630C5145"/>
    <w:rsid w:val="7B711489"/>
    <w:rsid w:val="7DA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2139</Words>
  <Characters>2218</Characters>
  <Lines>18</Lines>
  <Paragraphs>5</Paragraphs>
  <TotalTime>1</TotalTime>
  <ScaleCrop>false</ScaleCrop>
  <LinksUpToDate>false</LinksUpToDate>
  <CharactersWithSpaces>2404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2021-04-21T06:44:00Z</dcterms:created>
  <dc:creator>曦微。</dc:creator>
  <cp:lastModifiedBy>微信用户</cp:lastModifiedBy>
  <dcterms:modified xsi:type="dcterms:W3CDTF">2023-04-27T01:58:17Z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5383AB2823214C838B06875EF2674561</vt:lpwstr>
  </property>
</Properties>
</file>