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ascii="黑体" w:hAnsi="宋体" w:eastAsia="黑体" w:cs="黑体"/>
          <w:i w:val="0"/>
          <w:iCs w:val="0"/>
          <w:caps w:val="0"/>
          <w:color w:val="232323"/>
          <w:spacing w:val="0"/>
          <w:kern w:val="0"/>
          <w:sz w:val="36"/>
          <w:szCs w:val="36"/>
          <w:bdr w:val="none" w:color="auto" w:sz="0" w:space="0"/>
          <w:shd w:val="clear" w:fill="FFFFFF"/>
          <w:lang w:val="en-US" w:eastAsia="zh-CN" w:bidi="ar"/>
        </w:rPr>
      </w:pPr>
      <w:r>
        <w:rPr>
          <w:rFonts w:ascii="微软雅黑" w:hAnsi="微软雅黑" w:eastAsia="微软雅黑" w:cs="微软雅黑"/>
          <w:i w:val="0"/>
          <w:iCs w:val="0"/>
          <w:caps w:val="0"/>
          <w:color w:val="232323"/>
          <w:spacing w:val="0"/>
          <w:sz w:val="36"/>
          <w:szCs w:val="36"/>
          <w:shd w:val="clear" w:fill="FFFFFF"/>
        </w:rPr>
        <w:t>隆回县发展</w:t>
      </w:r>
      <w:bookmarkStart w:id="0" w:name="_GoBack"/>
      <w:bookmarkEnd w:id="0"/>
      <w:r>
        <w:rPr>
          <w:rFonts w:ascii="微软雅黑" w:hAnsi="微软雅黑" w:eastAsia="微软雅黑" w:cs="微软雅黑"/>
          <w:i w:val="0"/>
          <w:iCs w:val="0"/>
          <w:caps w:val="0"/>
          <w:color w:val="232323"/>
          <w:spacing w:val="0"/>
          <w:sz w:val="36"/>
          <w:szCs w:val="36"/>
          <w:shd w:val="clear" w:fill="FFFFFF"/>
        </w:rPr>
        <w:t>和改革局部门整体支出绩效自评报告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jc w:val="left"/>
        <w:rPr>
          <w:rFonts w:ascii="微软雅黑" w:hAnsi="微软雅黑" w:eastAsia="微软雅黑" w:cs="微软雅黑"/>
          <w:i w:val="0"/>
          <w:iCs w:val="0"/>
          <w:caps w:val="0"/>
          <w:color w:val="232323"/>
          <w:spacing w:val="0"/>
          <w:sz w:val="21"/>
          <w:szCs w:val="21"/>
        </w:rPr>
      </w:pPr>
      <w:r>
        <w:rPr>
          <w:rFonts w:ascii="黑体" w:hAnsi="宋体" w:eastAsia="黑体" w:cs="黑体"/>
          <w:i w:val="0"/>
          <w:iCs w:val="0"/>
          <w:caps w:val="0"/>
          <w:color w:val="232323"/>
          <w:spacing w:val="0"/>
          <w:kern w:val="0"/>
          <w:sz w:val="32"/>
          <w:szCs w:val="32"/>
          <w:bdr w:val="none" w:color="auto" w:sz="0" w:space="0"/>
          <w:shd w:val="clear" w:fill="FFFFFF"/>
          <w:lang w:val="en-US" w:eastAsia="zh-CN" w:bidi="ar"/>
        </w:rPr>
        <w:t>一、部门概况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232323"/>
          <w:spacing w:val="0"/>
          <w:sz w:val="21"/>
          <w:szCs w:val="21"/>
        </w:rPr>
      </w:pPr>
      <w:r>
        <w:rPr>
          <w:rFonts w:ascii="楷体" w:hAnsi="楷体" w:eastAsia="楷体" w:cs="楷体"/>
          <w:b/>
          <w:bCs/>
          <w:i w:val="0"/>
          <w:iCs w:val="0"/>
          <w:caps w:val="0"/>
          <w:color w:val="232323"/>
          <w:spacing w:val="0"/>
          <w:kern w:val="0"/>
          <w:sz w:val="32"/>
          <w:szCs w:val="32"/>
          <w:bdr w:val="none" w:color="auto" w:sz="0" w:space="0"/>
          <w:shd w:val="clear" w:fill="FFFFFF"/>
          <w:lang w:val="en-US" w:eastAsia="zh-CN" w:bidi="ar"/>
        </w:rPr>
        <w:t>（一）部门基本情况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ascii="仿宋" w:hAnsi="仿宋" w:eastAsia="仿宋" w:cs="仿宋"/>
          <w:i w:val="0"/>
          <w:iCs w:val="0"/>
          <w:caps w:val="0"/>
          <w:color w:val="232323"/>
          <w:spacing w:val="0"/>
          <w:sz w:val="32"/>
          <w:szCs w:val="32"/>
          <w:bdr w:val="none" w:color="auto" w:sz="0" w:space="0"/>
          <w:shd w:val="clear" w:fill="FFFFFF"/>
        </w:rPr>
        <w:t>1.</w:t>
      </w:r>
      <w:r>
        <w:rPr>
          <w:rFonts w:ascii="仿宋_GB2312" w:hAnsi="微软雅黑" w:eastAsia="仿宋_GB2312" w:cs="仿宋_GB2312"/>
          <w:i w:val="0"/>
          <w:iCs w:val="0"/>
          <w:caps w:val="0"/>
          <w:color w:val="232323"/>
          <w:spacing w:val="0"/>
          <w:sz w:val="32"/>
          <w:szCs w:val="32"/>
          <w:bdr w:val="none" w:color="auto" w:sz="0" w:space="0"/>
          <w:shd w:val="clear" w:fill="FFFFFF"/>
        </w:rPr>
        <w:t>部门职责：</w:t>
      </w:r>
      <w:r>
        <w:rPr>
          <w:rFonts w:hint="eastAsia" w:ascii="仿宋_GB2312" w:hAnsi="微软雅黑" w:eastAsia="仿宋_GB2312" w:cs="仿宋_GB2312"/>
          <w:i w:val="0"/>
          <w:iCs w:val="0"/>
          <w:caps w:val="0"/>
          <w:color w:val="333333"/>
          <w:spacing w:val="0"/>
          <w:sz w:val="32"/>
          <w:szCs w:val="32"/>
          <w:bdr w:val="none" w:color="auto" w:sz="0" w:space="0"/>
          <w:shd w:val="clear" w:fill="FFFFFF"/>
        </w:rPr>
        <w:t>隆回县发展和改革局主要承担拟订全县经济社会发展战略，提出全县国民经济发展和优化重大经济结构的目标、政策；加强和改善宏观调控，研究全县宏观经济运行、总量平衡、经济安全和总体产业安全等重要问题并提出宏观调控政策建议；综合协调各项政策;推进经济体制改革，组织拟订综合性经济体制改革方案；引导和监督固定资产投资；推进产业结构战略调整和升级；促进区域协调发展；引导和调控市场，承担重要商品总量平衡和宏观调控；促进经济社会协调发展；推进能源运行，求灾物资、应急物资储备职能；编制并组织实施全县国民经济动员和装备动员规划、计划；起草国民经济和社会发展、经济体制改革和对外开放有关规范性文件，参与有关规范性文件的实施等职能;</w:t>
      </w:r>
      <w:r>
        <w:rPr>
          <w:rFonts w:hint="eastAsia" w:ascii="仿宋_GB2312" w:hAnsi="微软雅黑" w:eastAsia="仿宋_GB2312" w:cs="仿宋_GB2312"/>
          <w:i w:val="0"/>
          <w:iCs w:val="0"/>
          <w:caps w:val="0"/>
          <w:color w:val="222222"/>
          <w:spacing w:val="0"/>
          <w:sz w:val="32"/>
          <w:szCs w:val="32"/>
          <w:bdr w:val="none" w:color="auto" w:sz="0" w:space="0"/>
          <w:shd w:val="clear" w:fill="FFFFFF"/>
        </w:rPr>
        <w:t>贯彻执行国家价格法及相关政策和法规，履行引导、规范市场经济条件下市场主体的价格行为和政府调控管理价格、指导行业组织价格自律等职能</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222222"/>
          <w:spacing w:val="0"/>
          <w:sz w:val="32"/>
          <w:szCs w:val="32"/>
          <w:bdr w:val="none" w:color="auto" w:sz="0" w:space="0"/>
          <w:shd w:val="clear" w:fill="FFFFFF"/>
        </w:rPr>
        <w:t>完成农产品成本调查工作，为政府价格决策提供可靠的依据；</w:t>
      </w:r>
      <w:r>
        <w:rPr>
          <w:rFonts w:hint="eastAsia" w:ascii="仿宋_GB2312" w:hAnsi="微软雅黑" w:eastAsia="仿宋_GB2312" w:cs="仿宋_GB2312"/>
          <w:i w:val="0"/>
          <w:iCs w:val="0"/>
          <w:caps w:val="0"/>
          <w:color w:val="333333"/>
          <w:spacing w:val="0"/>
          <w:sz w:val="32"/>
          <w:szCs w:val="32"/>
          <w:bdr w:val="none" w:color="auto" w:sz="0" w:space="0"/>
          <w:shd w:val="clear" w:fill="FFFFFF"/>
        </w:rPr>
        <w:t>负责全县市场价格监测、分析、预测和预警，掌握市场物价运行状况；承担全县涉案物价格鉴证等工作；</w:t>
      </w:r>
      <w:r>
        <w:rPr>
          <w:rFonts w:hint="eastAsia" w:ascii="仿宋_GB2312" w:hAnsi="微软雅黑" w:eastAsia="仿宋_GB2312" w:cs="仿宋_GB2312"/>
          <w:i w:val="0"/>
          <w:iCs w:val="0"/>
          <w:caps w:val="0"/>
          <w:color w:val="000000"/>
          <w:spacing w:val="0"/>
          <w:sz w:val="32"/>
          <w:szCs w:val="32"/>
          <w:bdr w:val="none" w:color="auto" w:sz="0" w:space="0"/>
          <w:shd w:val="clear" w:fill="FFFFFF"/>
        </w:rPr>
        <w:t>贯彻执行国家粮食流通和粮油储备管理的法律、法规和方针、政策，拟订粮食流通体制、地方粮油储备管理体制改革方案并组织实施，研究提出现代粮食流通产业发展战略的建议；拟订全县粮食流通相关的规范性文件，会同有关部门研究提出全县粮食流通和地方粮油储备中长期规划的建议。承担粮食监测预警和应急责任，指导协调最低收购价粮食等政策性粮食购销、辖区军粮供应和粮食产销合作。承担县级储备粮油行政管理责任；负责全县粮食流通监督检查工作。监督检查国家和省、市、县粮食流通、粮油储备有关法律、法规和政策的贯彻落实情况，制定全县粮食流通监督检查制度并组织实施。对粮食收购、储存环节的粮食质量安全和原粮卫生进行监督管理，监督检查粮食经营者从事粮食收购、储存、运输、政策性用粮购销活动，以及执行国家粮食流通统计制度等情况；负责粮食流通的行业管理，指导粮食流通的科技进步、技术改造和新技术推广。按照国家粮食质量标准，提出粮食收购市场准入标准建议，负责全县粮食收购资格审核和核查以及全社会粮食流通统计工作。开展粮食流通的对外合作与交流；承担县委、县政府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52"/>
        <w:jc w:val="left"/>
        <w:rPr>
          <w:rFonts w:hint="eastAsia" w:ascii="微软雅黑" w:hAnsi="微软雅黑" w:eastAsia="微软雅黑" w:cs="微软雅黑"/>
          <w:i w:val="0"/>
          <w:iCs w:val="0"/>
          <w:caps w:val="0"/>
          <w:color w:val="232323"/>
          <w:spacing w:val="0"/>
          <w:sz w:val="21"/>
          <w:szCs w:val="21"/>
        </w:rPr>
      </w:pPr>
      <w:r>
        <w:rPr>
          <w:rFonts w:hint="eastAsia" w:ascii="宋体" w:hAnsi="宋体" w:eastAsia="宋体" w:cs="宋体"/>
          <w:i w:val="0"/>
          <w:iCs w:val="0"/>
          <w:caps w:val="0"/>
          <w:color w:val="030301"/>
          <w:spacing w:val="0"/>
          <w:kern w:val="0"/>
          <w:sz w:val="18"/>
          <w:szCs w:val="18"/>
          <w:bdr w:val="none" w:color="auto" w:sz="0" w:space="0"/>
          <w:shd w:val="clear" w:fill="FFFFFF"/>
          <w:lang w:val="en-US" w:eastAsia="zh-CN" w:bidi="ar"/>
        </w:rPr>
        <w:t>   </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2.</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机构设置：根据编委办核定，我单位内设股室 </w:t>
      </w:r>
      <w:r>
        <w:rPr>
          <w:rFonts w:hint="default" w:ascii="Times New Roman" w:hAnsi="Times New Roman" w:eastAsia="仿宋_GB2312" w:cs="Times New Roman"/>
          <w:i w:val="0"/>
          <w:iCs w:val="0"/>
          <w:caps w:val="0"/>
          <w:color w:val="232323"/>
          <w:spacing w:val="0"/>
          <w:kern w:val="0"/>
          <w:sz w:val="32"/>
          <w:szCs w:val="32"/>
          <w:bdr w:val="none" w:color="auto" w:sz="0" w:space="0"/>
          <w:shd w:val="clear" w:fill="FFFFFF"/>
          <w:lang w:val="en-US" w:eastAsia="zh-CN" w:bidi="ar"/>
        </w:rPr>
        <w:t>15 </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个，所属单位</w:t>
      </w:r>
      <w:r>
        <w:rPr>
          <w:rFonts w:hint="default" w:ascii="Times New Roman" w:hAnsi="Times New Roman" w:eastAsia="仿宋_GB2312" w:cs="Times New Roman"/>
          <w:i w:val="0"/>
          <w:iCs w:val="0"/>
          <w:caps w:val="0"/>
          <w:color w:val="232323"/>
          <w:spacing w:val="0"/>
          <w:kern w:val="0"/>
          <w:sz w:val="32"/>
          <w:szCs w:val="32"/>
          <w:bdr w:val="none" w:color="auto" w:sz="0" w:space="0"/>
          <w:shd w:val="clear" w:fill="FFFFFF"/>
          <w:lang w:val="en-US" w:eastAsia="zh-CN" w:bidi="ar"/>
        </w:rPr>
        <w:t>3 </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个。内设股室分别是：</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办公室、财务股、综合改革和投资股、农村经济股、工交环资能源股、社会发展和服务业股、财贸金融和信用建设股、招投标和法规股、湘西地区开发股、价格管理和收费股、行政审批股、优化经济环境股、项目建设管理股、粮食管理股、物资储备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left"/>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所属单位分别是</w:t>
      </w:r>
      <w:r>
        <w:rPr>
          <w:rFonts w:hint="default" w:ascii="Times New Roman" w:hAnsi="Times New Roman" w:eastAsia="仿宋_GB2312" w:cs="Times New Roman"/>
          <w:i w:val="0"/>
          <w:iCs w:val="0"/>
          <w:caps w:val="0"/>
          <w:color w:val="232323"/>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县发展改革事务中心，县价格认证中心，县军粮供应站。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3.</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单位基本情况：我局编制人数为</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35</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人，实际人数</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136</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人，其中在职</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68</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人，离退休</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68</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人。遗属补助人数</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3</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人；小车编制数</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0</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台，实际</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0</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台；固定资产原值</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159.43</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万元，其中房屋面积</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105</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平方米，房屋原值</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13.06</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232323"/>
          <w:spacing w:val="0"/>
          <w:sz w:val="21"/>
          <w:szCs w:val="21"/>
        </w:rPr>
      </w:pPr>
      <w:r>
        <w:rPr>
          <w:rFonts w:hint="eastAsia" w:ascii="楷体" w:hAnsi="楷体" w:eastAsia="楷体" w:cs="楷体"/>
          <w:b/>
          <w:bCs/>
          <w:i w:val="0"/>
          <w:iCs w:val="0"/>
          <w:caps w:val="0"/>
          <w:color w:val="232323"/>
          <w:spacing w:val="0"/>
          <w:sz w:val="32"/>
          <w:szCs w:val="32"/>
          <w:bdr w:val="none" w:color="auto" w:sz="0" w:space="0"/>
          <w:shd w:val="clear" w:fill="FFFFFF"/>
        </w:rPr>
        <w:t>（二）2022年的重点工作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232323"/>
          <w:spacing w:val="0"/>
          <w:sz w:val="21"/>
          <w:szCs w:val="21"/>
        </w:rPr>
      </w:pPr>
      <w:r>
        <w:rPr>
          <w:rFonts w:hint="eastAsia" w:ascii="楷体" w:hAnsi="楷体" w:eastAsia="楷体" w:cs="楷体"/>
          <w:b/>
          <w:bCs/>
          <w:i w:val="0"/>
          <w:iCs w:val="0"/>
          <w:caps w:val="0"/>
          <w:color w:val="000000"/>
          <w:spacing w:val="0"/>
          <w:kern w:val="0"/>
          <w:sz w:val="32"/>
          <w:szCs w:val="32"/>
          <w:bdr w:val="none" w:color="auto" w:sz="0" w:space="0"/>
          <w:shd w:val="clear" w:fill="FFFFFF"/>
          <w:lang w:val="en-US" w:eastAsia="zh-CN" w:bidi="ar"/>
        </w:rPr>
        <w:t>1.着力保持经济平稳增长。</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我们始终立足新发展阶段，贯彻新发展理念，融入新发0展格局，坚持“稳进高新”工作方针，各项经济指标稳中向好。</w:t>
      </w:r>
      <w:r>
        <w:rPr>
          <w:rFonts w:hint="eastAsia" w:ascii="仿宋_GB2312" w:hAnsi="微软雅黑" w:eastAsia="仿宋_GB2312" w:cs="仿宋_GB2312"/>
          <w:b/>
          <w:bCs/>
          <w:i w:val="0"/>
          <w:iCs w:val="0"/>
          <w:caps w:val="0"/>
          <w:color w:val="232323"/>
          <w:spacing w:val="0"/>
          <w:kern w:val="0"/>
          <w:sz w:val="32"/>
          <w:szCs w:val="32"/>
          <w:bdr w:val="none" w:color="auto" w:sz="0" w:space="0"/>
          <w:shd w:val="clear" w:fill="FFFFFF"/>
          <w:lang w:val="en-US" w:eastAsia="zh-CN" w:bidi="ar"/>
        </w:rPr>
        <w:t>一是综合实力行稳致远。</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全年完成地区生产总值278.98亿元，同比增长9%</w:t>
      </w:r>
      <w:r>
        <w:rPr>
          <w:rFonts w:hint="eastAsia" w:ascii="仿宋" w:hAnsi="仿宋" w:eastAsia="仿宋" w:cs="仿宋"/>
          <w:i w:val="0"/>
          <w:iCs w:val="0"/>
          <w:caps w:val="0"/>
          <w:color w:val="232323"/>
          <w:spacing w:val="0"/>
          <w:kern w:val="0"/>
          <w:sz w:val="21"/>
          <w:szCs w:val="21"/>
          <w:bdr w:val="none" w:color="auto" w:sz="0" w:space="0"/>
          <w:shd w:val="clear" w:fill="FFFFFF"/>
          <w:lang w:val="en-US" w:eastAsia="zh-CN" w:bidi="ar"/>
        </w:rPr>
        <w:t>。</w:t>
      </w:r>
      <w:r>
        <w:rPr>
          <w:rFonts w:hint="eastAsia" w:ascii="仿宋_GB2312" w:hAnsi="微软雅黑" w:eastAsia="仿宋_GB2312" w:cs="仿宋_GB2312"/>
          <w:b/>
          <w:bCs/>
          <w:i w:val="0"/>
          <w:iCs w:val="0"/>
          <w:caps w:val="0"/>
          <w:color w:val="232323"/>
          <w:spacing w:val="0"/>
          <w:kern w:val="0"/>
          <w:sz w:val="32"/>
          <w:szCs w:val="32"/>
          <w:bdr w:val="none" w:color="auto" w:sz="0" w:space="0"/>
          <w:shd w:val="clear" w:fill="FFFFFF"/>
          <w:lang w:val="en-US" w:eastAsia="zh-CN" w:bidi="ar"/>
        </w:rPr>
        <w:t>二是固定资产投资前高后稳。</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全年固定资产投资预计完成236.85亿元、同比增速12%。</w:t>
      </w:r>
      <w:r>
        <w:rPr>
          <w:rFonts w:hint="eastAsia" w:ascii="仿宋_GB2312" w:hAnsi="微软雅黑" w:eastAsia="仿宋_GB2312" w:cs="仿宋_GB2312"/>
          <w:b/>
          <w:bCs/>
          <w:i w:val="0"/>
          <w:iCs w:val="0"/>
          <w:caps w:val="0"/>
          <w:color w:val="232323"/>
          <w:spacing w:val="0"/>
          <w:kern w:val="0"/>
          <w:sz w:val="32"/>
          <w:szCs w:val="32"/>
          <w:bdr w:val="none" w:color="auto" w:sz="0" w:space="0"/>
          <w:shd w:val="clear" w:fill="FFFFFF"/>
          <w:lang w:val="en-US" w:eastAsia="zh-CN" w:bidi="ar"/>
        </w:rPr>
        <w:t>三是规模服务业卓有成效。</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新增8家规模服务企业入规入统，增速达34.45%，全市排名第1。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rPr>
          <w:rFonts w:hint="eastAsia" w:ascii="微软雅黑" w:hAnsi="微软雅黑" w:eastAsia="微软雅黑" w:cs="微软雅黑"/>
          <w:i w:val="0"/>
          <w:iCs w:val="0"/>
          <w:caps w:val="0"/>
          <w:color w:val="232323"/>
          <w:spacing w:val="0"/>
          <w:sz w:val="21"/>
          <w:szCs w:val="21"/>
        </w:rPr>
      </w:pPr>
      <w:r>
        <w:rPr>
          <w:rFonts w:hint="eastAsia" w:ascii="楷体" w:hAnsi="楷体" w:eastAsia="楷体" w:cs="楷体"/>
          <w:b/>
          <w:bCs/>
          <w:i w:val="0"/>
          <w:iCs w:val="0"/>
          <w:caps w:val="0"/>
          <w:color w:val="000000"/>
          <w:spacing w:val="0"/>
          <w:sz w:val="32"/>
          <w:szCs w:val="32"/>
          <w:bdr w:val="none" w:color="auto" w:sz="0" w:space="0"/>
          <w:shd w:val="clear" w:fill="FFFFFF"/>
        </w:rPr>
        <w:t>2.着力扩大有效投资。</w:t>
      </w:r>
      <w:r>
        <w:rPr>
          <w:rFonts w:hint="eastAsia" w:ascii="仿宋_GB2312" w:hAnsi="微软雅黑" w:eastAsia="仿宋_GB2312" w:cs="仿宋_GB2312"/>
          <w:i w:val="0"/>
          <w:iCs w:val="0"/>
          <w:caps w:val="0"/>
          <w:color w:val="000000"/>
          <w:spacing w:val="0"/>
          <w:sz w:val="32"/>
          <w:szCs w:val="32"/>
          <w:bdr w:val="none" w:color="auto" w:sz="0" w:space="0"/>
          <w:shd w:val="clear" w:fill="FFFFFF"/>
        </w:rPr>
        <w:t>2022年全县计划</w:t>
      </w:r>
      <w:r>
        <w:rPr>
          <w:rFonts w:hint="eastAsia" w:ascii="仿宋_GB2312" w:hAnsi="微软雅黑" w:eastAsia="仿宋_GB2312" w:cs="仿宋_GB2312"/>
          <w:i w:val="0"/>
          <w:iCs w:val="0"/>
          <w:caps w:val="0"/>
          <w:color w:val="232323"/>
          <w:spacing w:val="0"/>
          <w:sz w:val="32"/>
          <w:szCs w:val="32"/>
          <w:bdr w:val="none" w:color="auto" w:sz="0" w:space="0"/>
          <w:shd w:val="clear" w:fill="FFFFFF"/>
        </w:rPr>
        <w:t>实施重点建设项目145个，总投资454.33亿元，年度新增投资162.37亿元，其中省重点产业项目2个、市重点项目40个。</w:t>
      </w:r>
      <w:r>
        <w:rPr>
          <w:rFonts w:hint="eastAsia" w:ascii="仿宋" w:hAnsi="仿宋" w:eastAsia="仿宋" w:cs="仿宋"/>
          <w:b/>
          <w:bCs/>
          <w:i w:val="0"/>
          <w:iCs w:val="0"/>
          <w:caps w:val="0"/>
          <w:color w:val="232323"/>
          <w:spacing w:val="0"/>
          <w:sz w:val="32"/>
          <w:szCs w:val="32"/>
          <w:bdr w:val="none" w:color="auto" w:sz="0" w:space="0"/>
          <w:shd w:val="clear" w:fill="FFFFFF"/>
        </w:rPr>
        <w:t>一是统筹做好重大项目协调服务。</w:t>
      </w:r>
      <w:r>
        <w:rPr>
          <w:rFonts w:hint="eastAsia" w:ascii="仿宋" w:hAnsi="仿宋" w:eastAsia="仿宋" w:cs="仿宋"/>
          <w:i w:val="0"/>
          <w:iCs w:val="0"/>
          <w:caps w:val="0"/>
          <w:color w:val="232323"/>
          <w:spacing w:val="0"/>
          <w:sz w:val="32"/>
          <w:szCs w:val="32"/>
          <w:bdr w:val="none" w:color="auto" w:sz="0" w:space="0"/>
          <w:shd w:val="clear" w:fill="FFFFFF"/>
        </w:rPr>
        <w:t>做到</w:t>
      </w:r>
      <w:r>
        <w:rPr>
          <w:rFonts w:hint="eastAsia" w:ascii="仿宋_GB2312" w:hAnsi="微软雅黑" w:eastAsia="仿宋_GB2312" w:cs="仿宋_GB2312"/>
          <w:i w:val="0"/>
          <w:iCs w:val="0"/>
          <w:caps w:val="0"/>
          <w:color w:val="232323"/>
          <w:spacing w:val="0"/>
          <w:sz w:val="32"/>
          <w:szCs w:val="32"/>
          <w:bdr w:val="none" w:color="auto" w:sz="0" w:space="0"/>
          <w:shd w:val="clear" w:fill="FFFFFF"/>
        </w:rPr>
        <w:t>及早谋划、周密部署，正月十一召开了全县重点项目建设动员大会，在全市率先拿出2022年重点建设项目“盘子”，精心编制了2022年隆回县重点项目工作计划任务，及时下达了任务计划文件；精减设置了全县重点项目指挥部，抽调精干力量433人参加重点项目建设。充分发挥重大项目建设引领带动作用，举行重大项目集中开竣工仪式2次，集中开竣工24个项目，总投资近100亿元。联合政府督查室等单位对各重点项目督查，为县委县政府提供决策依据。</w:t>
      </w:r>
      <w:r>
        <w:rPr>
          <w:rFonts w:hint="eastAsia" w:ascii="仿宋" w:hAnsi="仿宋" w:eastAsia="仿宋" w:cs="仿宋"/>
          <w:b/>
          <w:bCs/>
          <w:i w:val="0"/>
          <w:iCs w:val="0"/>
          <w:caps w:val="0"/>
          <w:color w:val="232323"/>
          <w:spacing w:val="0"/>
          <w:sz w:val="32"/>
          <w:szCs w:val="32"/>
          <w:bdr w:val="none" w:color="auto" w:sz="0" w:space="0"/>
          <w:shd w:val="clear" w:fill="FFFFFF"/>
        </w:rPr>
        <w:t>二是有序推进重点项目建设。</w:t>
      </w:r>
      <w:r>
        <w:rPr>
          <w:rFonts w:hint="eastAsia" w:ascii="仿宋_GB2312" w:hAnsi="微软雅黑" w:eastAsia="仿宋_GB2312" w:cs="仿宋_GB2312"/>
          <w:b/>
          <w:bCs/>
          <w:i w:val="0"/>
          <w:iCs w:val="0"/>
          <w:caps w:val="0"/>
          <w:color w:val="232323"/>
          <w:spacing w:val="0"/>
          <w:sz w:val="32"/>
          <w:szCs w:val="32"/>
          <w:bdr w:val="none" w:color="auto" w:sz="0" w:space="0"/>
          <w:shd w:val="clear" w:fill="FFFFFF"/>
        </w:rPr>
        <w:t>省级重点项目：</w:t>
      </w:r>
      <w:r>
        <w:rPr>
          <w:rFonts w:hint="eastAsia" w:ascii="仿宋_GB2312" w:hAnsi="微软雅黑" w:eastAsia="仿宋_GB2312" w:cs="仿宋_GB2312"/>
          <w:i w:val="0"/>
          <w:iCs w:val="0"/>
          <w:caps w:val="0"/>
          <w:color w:val="232323"/>
          <w:spacing w:val="0"/>
          <w:sz w:val="32"/>
          <w:szCs w:val="32"/>
          <w:bdr w:val="none" w:color="auto" w:sz="0" w:space="0"/>
          <w:shd w:val="clear" w:fill="FFFFFF"/>
        </w:rPr>
        <w:t>我县今年省级重点项目2个，其中隆回县安全食品冷链物流智慧城年度计划投资5亿元，目前实际投资2300万元，占年度投资计划的4.6%；道地药材产业园建设项目年度计划投资4亿元，目前实际投资3.5亿元，占年度投资计划的87.5%。</w:t>
      </w:r>
      <w:r>
        <w:rPr>
          <w:rFonts w:hint="eastAsia" w:ascii="仿宋_GB2312" w:hAnsi="微软雅黑" w:eastAsia="仿宋_GB2312" w:cs="仿宋_GB2312"/>
          <w:b/>
          <w:bCs/>
          <w:i w:val="0"/>
          <w:iCs w:val="0"/>
          <w:caps w:val="0"/>
          <w:color w:val="232323"/>
          <w:spacing w:val="0"/>
          <w:sz w:val="32"/>
          <w:szCs w:val="32"/>
          <w:bdr w:val="none" w:color="auto" w:sz="0" w:space="0"/>
          <w:shd w:val="clear" w:fill="FFFFFF"/>
        </w:rPr>
        <w:t>市级重点项目：</w:t>
      </w:r>
      <w:r>
        <w:rPr>
          <w:rFonts w:hint="default" w:ascii="Times New Roman" w:hAnsi="Times New Roman" w:eastAsia="仿宋_GB2312" w:cs="Times New Roman"/>
          <w:i w:val="0"/>
          <w:iCs w:val="0"/>
          <w:caps w:val="0"/>
          <w:color w:val="232323"/>
          <w:spacing w:val="0"/>
          <w:sz w:val="32"/>
          <w:szCs w:val="32"/>
          <w:bdr w:val="none" w:color="auto" w:sz="0" w:space="0"/>
          <w:shd w:val="clear" w:fill="FFFFFF"/>
        </w:rPr>
        <w:t>2022</w:t>
      </w:r>
      <w:r>
        <w:rPr>
          <w:rFonts w:hint="eastAsia" w:ascii="仿宋_GB2312" w:hAnsi="微软雅黑" w:eastAsia="仿宋_GB2312" w:cs="仿宋_GB2312"/>
          <w:i w:val="0"/>
          <w:iCs w:val="0"/>
          <w:caps w:val="0"/>
          <w:color w:val="232323"/>
          <w:spacing w:val="0"/>
          <w:sz w:val="32"/>
          <w:szCs w:val="32"/>
          <w:bdr w:val="none" w:color="auto" w:sz="0" w:space="0"/>
          <w:shd w:val="clear" w:fill="FFFFFF"/>
        </w:rPr>
        <w:t>年，我县列入市级重点项目</w:t>
      </w:r>
      <w:r>
        <w:rPr>
          <w:rFonts w:hint="default" w:ascii="Times New Roman" w:hAnsi="Times New Roman" w:eastAsia="仿宋_GB2312" w:cs="Times New Roman"/>
          <w:i w:val="0"/>
          <w:iCs w:val="0"/>
          <w:caps w:val="0"/>
          <w:color w:val="232323"/>
          <w:spacing w:val="0"/>
          <w:sz w:val="32"/>
          <w:szCs w:val="32"/>
          <w:bdr w:val="none" w:color="auto" w:sz="0" w:space="0"/>
          <w:shd w:val="clear" w:fill="FFFFFF"/>
        </w:rPr>
        <w:t>40</w:t>
      </w:r>
      <w:r>
        <w:rPr>
          <w:rFonts w:hint="eastAsia" w:ascii="仿宋_GB2312" w:hAnsi="微软雅黑" w:eastAsia="仿宋_GB2312" w:cs="仿宋_GB2312"/>
          <w:i w:val="0"/>
          <w:iCs w:val="0"/>
          <w:caps w:val="0"/>
          <w:color w:val="232323"/>
          <w:spacing w:val="0"/>
          <w:sz w:val="32"/>
          <w:szCs w:val="32"/>
          <w:bdr w:val="none" w:color="auto" w:sz="0" w:space="0"/>
          <w:shd w:val="clear" w:fill="FFFFFF"/>
        </w:rPr>
        <w:t>个，年度计划投资46.03亿元，截至目前实际完成新增投资29.70亿元，占年度计划64.51%。其中南方绿色建材产业园、隆回润达科技有限公司机械设备零配件生产基地、隆回县城东物流仓储园配套标准化厂房、隆回县乡村三级物流体系及阿里易购电商综合服务平台建设等项目主体工程未实际性开工。</w:t>
      </w:r>
      <w:r>
        <w:rPr>
          <w:rFonts w:hint="eastAsia" w:ascii="仿宋_GB2312" w:hAnsi="微软雅黑" w:eastAsia="仿宋_GB2312" w:cs="仿宋_GB2312"/>
          <w:b/>
          <w:bCs/>
          <w:i w:val="0"/>
          <w:iCs w:val="0"/>
          <w:caps w:val="0"/>
          <w:color w:val="232323"/>
          <w:spacing w:val="0"/>
          <w:sz w:val="32"/>
          <w:szCs w:val="32"/>
          <w:bdr w:val="none" w:color="auto" w:sz="0" w:space="0"/>
          <w:shd w:val="clear" w:fill="FFFFFF"/>
        </w:rPr>
        <w:t>县级重点项目：</w:t>
      </w:r>
      <w:r>
        <w:rPr>
          <w:rFonts w:hint="eastAsia" w:ascii="仿宋_GB2312" w:hAnsi="微软雅黑" w:eastAsia="仿宋_GB2312" w:cs="仿宋_GB2312"/>
          <w:i w:val="0"/>
          <w:iCs w:val="0"/>
          <w:caps w:val="0"/>
          <w:color w:val="232323"/>
          <w:spacing w:val="0"/>
          <w:sz w:val="32"/>
          <w:szCs w:val="32"/>
          <w:bdr w:val="none" w:color="auto" w:sz="0" w:space="0"/>
          <w:shd w:val="clear" w:fill="FFFFFF"/>
        </w:rPr>
        <w:t>全县计划实施重点项目145个，年度计划投资 162.37亿元，目前已完成投资86.48亿元，占年度计划53.26%。</w:t>
      </w:r>
      <w:r>
        <w:rPr>
          <w:rFonts w:hint="eastAsia" w:ascii="仿宋" w:hAnsi="仿宋" w:eastAsia="仿宋" w:cs="仿宋"/>
          <w:b/>
          <w:bCs/>
          <w:i w:val="0"/>
          <w:iCs w:val="0"/>
          <w:caps w:val="0"/>
          <w:color w:val="232323"/>
          <w:spacing w:val="0"/>
          <w:sz w:val="32"/>
          <w:szCs w:val="32"/>
          <w:bdr w:val="none" w:color="auto" w:sz="0" w:space="0"/>
          <w:shd w:val="clear" w:fill="FFFFFF"/>
        </w:rPr>
        <w:t>三是争资跑项硕果累累。</w:t>
      </w:r>
      <w:r>
        <w:rPr>
          <w:rFonts w:hint="eastAsia" w:ascii="仿宋_GB2312" w:hAnsi="微软雅黑" w:eastAsia="仿宋_GB2312" w:cs="仿宋_GB2312"/>
          <w:i w:val="0"/>
          <w:iCs w:val="0"/>
          <w:caps w:val="0"/>
          <w:color w:val="232323"/>
          <w:spacing w:val="0"/>
          <w:sz w:val="32"/>
          <w:szCs w:val="32"/>
          <w:bdr w:val="none" w:color="auto" w:sz="0" w:space="0"/>
          <w:shd w:val="clear" w:fill="FFFFFF"/>
        </w:rPr>
        <w:t>密切关注国家、省、市投资动态，主动向上对接，全年向上申报资金27批次100多个项目，涉及基础设施建设、保障性安居工程、城区排水等多个领域，目前已到位中央、省预算内资金2.32亿元，发行地方政府专项债4.09亿元，为经济发展注入了强有劲的活力。围绕</w:t>
      </w:r>
      <w:r>
        <w:rPr>
          <w:rFonts w:hint="default" w:ascii="Times New Roman" w:hAnsi="Times New Roman" w:eastAsia="仿宋_GB2312" w:cs="Times New Roman"/>
          <w:i w:val="0"/>
          <w:iCs w:val="0"/>
          <w:caps w:val="0"/>
          <w:color w:val="232323"/>
          <w:spacing w:val="0"/>
          <w:sz w:val="32"/>
          <w:szCs w:val="32"/>
          <w:bdr w:val="none" w:color="auto" w:sz="0" w:space="0"/>
          <w:shd w:val="clear" w:fill="FFFFFF"/>
        </w:rPr>
        <w:t>2023</w:t>
      </w:r>
      <w:r>
        <w:rPr>
          <w:rFonts w:hint="eastAsia" w:ascii="仿宋_GB2312" w:hAnsi="微软雅黑" w:eastAsia="仿宋_GB2312" w:cs="仿宋_GB2312"/>
          <w:i w:val="0"/>
          <w:iCs w:val="0"/>
          <w:caps w:val="0"/>
          <w:color w:val="232323"/>
          <w:spacing w:val="0"/>
          <w:sz w:val="32"/>
          <w:szCs w:val="32"/>
          <w:bdr w:val="none" w:color="auto" w:sz="0" w:space="0"/>
          <w:shd w:val="clear" w:fill="FFFFFF"/>
        </w:rPr>
        <w:t>年中央预算内资金的</w:t>
      </w:r>
      <w:r>
        <w:rPr>
          <w:rFonts w:hint="default" w:ascii="Times New Roman" w:hAnsi="Times New Roman" w:eastAsia="仿宋_GB2312" w:cs="Times New Roman"/>
          <w:i w:val="0"/>
          <w:iCs w:val="0"/>
          <w:caps w:val="0"/>
          <w:color w:val="232323"/>
          <w:spacing w:val="0"/>
          <w:sz w:val="32"/>
          <w:szCs w:val="32"/>
          <w:bdr w:val="none" w:color="auto" w:sz="0" w:space="0"/>
          <w:shd w:val="clear" w:fill="FFFFFF"/>
        </w:rPr>
        <w:t>10</w:t>
      </w:r>
      <w:r>
        <w:rPr>
          <w:rFonts w:hint="eastAsia" w:ascii="仿宋_GB2312" w:hAnsi="微软雅黑" w:eastAsia="仿宋_GB2312" w:cs="仿宋_GB2312"/>
          <w:i w:val="0"/>
          <w:iCs w:val="0"/>
          <w:caps w:val="0"/>
          <w:color w:val="232323"/>
          <w:spacing w:val="0"/>
          <w:sz w:val="32"/>
          <w:szCs w:val="32"/>
          <w:bdr w:val="none" w:color="auto" w:sz="0" w:space="0"/>
          <w:shd w:val="clear" w:fill="FFFFFF"/>
        </w:rPr>
        <w:t>个重点投资方向，全县初步梳理</w:t>
      </w:r>
      <w:r>
        <w:rPr>
          <w:rFonts w:hint="default" w:ascii="Times New Roman" w:hAnsi="Times New Roman" w:eastAsia="仿宋_GB2312" w:cs="Times New Roman"/>
          <w:i w:val="0"/>
          <w:iCs w:val="0"/>
          <w:caps w:val="0"/>
          <w:color w:val="232323"/>
          <w:spacing w:val="0"/>
          <w:sz w:val="32"/>
          <w:szCs w:val="32"/>
          <w:bdr w:val="none" w:color="auto" w:sz="0" w:space="0"/>
          <w:shd w:val="clear" w:fill="FFFFFF"/>
        </w:rPr>
        <w:t>2023</w:t>
      </w:r>
      <w:r>
        <w:rPr>
          <w:rFonts w:hint="eastAsia" w:ascii="仿宋_GB2312" w:hAnsi="微软雅黑" w:eastAsia="仿宋_GB2312" w:cs="仿宋_GB2312"/>
          <w:i w:val="0"/>
          <w:iCs w:val="0"/>
          <w:caps w:val="0"/>
          <w:color w:val="232323"/>
          <w:spacing w:val="0"/>
          <w:sz w:val="32"/>
          <w:szCs w:val="32"/>
          <w:bdr w:val="none" w:color="auto" w:sz="0" w:space="0"/>
          <w:shd w:val="clear" w:fill="FFFFFF"/>
        </w:rPr>
        <w:t>年中央预算内储备项目</w:t>
      </w:r>
      <w:r>
        <w:rPr>
          <w:rFonts w:hint="default" w:ascii="Times New Roman" w:hAnsi="Times New Roman" w:eastAsia="仿宋_GB2312" w:cs="Times New Roman"/>
          <w:i w:val="0"/>
          <w:iCs w:val="0"/>
          <w:caps w:val="0"/>
          <w:color w:val="232323"/>
          <w:spacing w:val="0"/>
          <w:sz w:val="32"/>
          <w:szCs w:val="32"/>
          <w:bdr w:val="none" w:color="auto" w:sz="0" w:space="0"/>
          <w:shd w:val="clear" w:fill="FFFFFF"/>
        </w:rPr>
        <w:t>262</w:t>
      </w:r>
      <w:r>
        <w:rPr>
          <w:rFonts w:hint="eastAsia" w:ascii="仿宋_GB2312" w:hAnsi="微软雅黑" w:eastAsia="仿宋_GB2312" w:cs="仿宋_GB2312"/>
          <w:i w:val="0"/>
          <w:iCs w:val="0"/>
          <w:caps w:val="0"/>
          <w:color w:val="232323"/>
          <w:spacing w:val="0"/>
          <w:sz w:val="32"/>
          <w:szCs w:val="32"/>
          <w:bdr w:val="none" w:color="auto" w:sz="0" w:space="0"/>
          <w:shd w:val="clear" w:fill="FFFFFF"/>
        </w:rPr>
        <w:t>个，涉及老旧小区改造、道路交通、文化教育、卫生健康、生态环保、农林水利、康养保健、生态旅游、冷链物流、产业发展等多个领域。项目估算总投资</w:t>
      </w:r>
      <w:r>
        <w:rPr>
          <w:rFonts w:hint="default" w:ascii="Times New Roman" w:hAnsi="Times New Roman" w:eastAsia="仿宋_GB2312" w:cs="Times New Roman"/>
          <w:i w:val="0"/>
          <w:iCs w:val="0"/>
          <w:caps w:val="0"/>
          <w:color w:val="232323"/>
          <w:spacing w:val="0"/>
          <w:sz w:val="32"/>
          <w:szCs w:val="32"/>
          <w:bdr w:val="none" w:color="auto" w:sz="0" w:space="0"/>
          <w:shd w:val="clear" w:fill="FFFFFF"/>
        </w:rPr>
        <w:t>296</w:t>
      </w:r>
      <w:r>
        <w:rPr>
          <w:rFonts w:hint="eastAsia" w:ascii="仿宋_GB2312" w:hAnsi="微软雅黑" w:eastAsia="仿宋_GB2312" w:cs="仿宋_GB2312"/>
          <w:i w:val="0"/>
          <w:iCs w:val="0"/>
          <w:caps w:val="0"/>
          <w:color w:val="232323"/>
          <w:spacing w:val="0"/>
          <w:sz w:val="32"/>
          <w:szCs w:val="32"/>
          <w:bdr w:val="none" w:color="auto" w:sz="0" w:space="0"/>
          <w:shd w:val="clear" w:fill="FFFFFF"/>
        </w:rPr>
        <w:t>亿，拟申请中央预算内投资</w:t>
      </w:r>
      <w:r>
        <w:rPr>
          <w:rFonts w:hint="default" w:ascii="Times New Roman" w:hAnsi="Times New Roman" w:eastAsia="仿宋_GB2312" w:cs="Times New Roman"/>
          <w:i w:val="0"/>
          <w:iCs w:val="0"/>
          <w:caps w:val="0"/>
          <w:color w:val="232323"/>
          <w:spacing w:val="0"/>
          <w:sz w:val="32"/>
          <w:szCs w:val="32"/>
          <w:bdr w:val="none" w:color="auto" w:sz="0" w:space="0"/>
          <w:shd w:val="clear" w:fill="FFFFFF"/>
        </w:rPr>
        <w:t>96</w:t>
      </w:r>
      <w:r>
        <w:rPr>
          <w:rFonts w:hint="eastAsia" w:ascii="仿宋_GB2312" w:hAnsi="微软雅黑" w:eastAsia="仿宋_GB2312" w:cs="仿宋_GB2312"/>
          <w:i w:val="0"/>
          <w:iCs w:val="0"/>
          <w:caps w:val="0"/>
          <w:color w:val="232323"/>
          <w:spacing w:val="0"/>
          <w:sz w:val="32"/>
          <w:szCs w:val="32"/>
          <w:bdr w:val="none" w:color="auto" w:sz="0" w:space="0"/>
          <w:shd w:val="clear" w:fill="FFFFFF"/>
        </w:rPr>
        <w:t>亿元。根据2023年专项债券项目支持的交通基础设施、能源、农林水利、生态环保、社会事业、程等领域，我县共储备了27个项目，总投资74.45亿元，其中专项债券总资金需求28.07亿元，拟申报2023年度专项债券需求21.37亿元，已通过省市审核的项目21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232323"/>
          <w:spacing w:val="0"/>
          <w:sz w:val="21"/>
          <w:szCs w:val="21"/>
        </w:rPr>
      </w:pPr>
      <w:r>
        <w:rPr>
          <w:rFonts w:hint="eastAsia" w:ascii="楷体" w:hAnsi="楷体" w:eastAsia="楷体" w:cs="楷体"/>
          <w:b/>
          <w:bCs/>
          <w:i w:val="0"/>
          <w:iCs w:val="0"/>
          <w:caps w:val="0"/>
          <w:color w:val="000000"/>
          <w:spacing w:val="0"/>
          <w:kern w:val="0"/>
          <w:sz w:val="32"/>
          <w:szCs w:val="32"/>
          <w:bdr w:val="none" w:color="auto" w:sz="0" w:space="0"/>
          <w:shd w:val="clear" w:fill="FFFFFF"/>
          <w:lang w:val="en-US" w:eastAsia="zh-CN" w:bidi="ar"/>
        </w:rPr>
        <w:t>3.</w:t>
      </w:r>
      <w:r>
        <w:rPr>
          <w:rFonts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是着力促进产业发展</w:t>
      </w:r>
      <w:r>
        <w:rPr>
          <w:rFonts w:hint="eastAsia" w:ascii="楷体" w:hAnsi="楷体" w:eastAsia="楷体" w:cs="楷体"/>
          <w:b/>
          <w:bCs/>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b/>
          <w:bCs/>
          <w:i w:val="0"/>
          <w:iCs w:val="0"/>
          <w:caps w:val="0"/>
          <w:color w:val="232323"/>
          <w:spacing w:val="0"/>
          <w:kern w:val="0"/>
          <w:sz w:val="32"/>
          <w:szCs w:val="32"/>
          <w:bdr w:val="none" w:color="auto" w:sz="0" w:space="0"/>
          <w:shd w:val="clear" w:fill="FFFFFF"/>
          <w:lang w:val="en-US" w:eastAsia="zh-CN" w:bidi="ar"/>
        </w:rPr>
        <w:t>一是大力实行产业链链长制。加强领导，把责任压实在链上。</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围绕生态文化旅游，金银花、龙牙百合为主的中药材，富硒现代农业，医养康养，轻工智能制造，新能源等产业等六大重点产业，实行“五个一”工作推进机制，分别由县委书记刘军、县长杨韶辉等6名县委常委担任产业链链长，落实责任单位22个。</w:t>
      </w:r>
      <w:r>
        <w:rPr>
          <w:rFonts w:hint="eastAsia" w:ascii="仿宋" w:hAnsi="仿宋" w:eastAsia="仿宋" w:cs="仿宋"/>
          <w:b/>
          <w:bCs/>
          <w:i w:val="0"/>
          <w:iCs w:val="0"/>
          <w:caps w:val="0"/>
          <w:color w:val="232323"/>
          <w:spacing w:val="0"/>
          <w:kern w:val="0"/>
          <w:sz w:val="32"/>
          <w:szCs w:val="32"/>
          <w:bdr w:val="none" w:color="auto" w:sz="0" w:space="0"/>
          <w:shd w:val="clear" w:fill="FFFFFF"/>
          <w:lang w:val="en-US" w:eastAsia="zh-CN" w:bidi="ar"/>
        </w:rPr>
        <w:t>健全机制，把功夫下足在链上。</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印发《隆回县重点产业链链长制工作方案》，建立了“一周一例会、一月一调度、一季一讲评、一年一评估”的调度机制，全年提请县委常委会、县政府常务会专题研究产业链工作6次，进一步推动产业链链长制走深走实。</w:t>
      </w:r>
      <w:r>
        <w:rPr>
          <w:rFonts w:hint="eastAsia" w:ascii="仿宋" w:hAnsi="仿宋" w:eastAsia="仿宋" w:cs="仿宋"/>
          <w:b/>
          <w:bCs/>
          <w:i w:val="0"/>
          <w:iCs w:val="0"/>
          <w:caps w:val="0"/>
          <w:color w:val="232323"/>
          <w:spacing w:val="0"/>
          <w:kern w:val="0"/>
          <w:sz w:val="32"/>
          <w:szCs w:val="32"/>
          <w:bdr w:val="none" w:color="auto" w:sz="0" w:space="0"/>
          <w:shd w:val="clear" w:fill="FFFFFF"/>
          <w:lang w:val="en-US" w:eastAsia="zh-CN" w:bidi="ar"/>
        </w:rPr>
        <w:t>做优服务，把劲头铆紧在链上。</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着眼应对疫情，全面降低疫情对经济产业的影响，全力稳定产业链。“牵线搭桥”做好双向服务，对有意向的劳动力，以点对点、一对一招工方式，实现“出家门、上车门、进厂门”一步到位。</w:t>
      </w:r>
      <w:r>
        <w:rPr>
          <w:rFonts w:hint="eastAsia" w:ascii="仿宋_GB2312" w:hAnsi="微软雅黑" w:eastAsia="仿宋_GB2312" w:cs="仿宋_GB2312"/>
          <w:b/>
          <w:bCs/>
          <w:i w:val="0"/>
          <w:iCs w:val="0"/>
          <w:caps w:val="0"/>
          <w:color w:val="232323"/>
          <w:spacing w:val="0"/>
          <w:kern w:val="0"/>
          <w:sz w:val="32"/>
          <w:szCs w:val="32"/>
          <w:bdr w:val="none" w:color="auto" w:sz="0" w:space="0"/>
          <w:shd w:val="clear" w:fill="FFFFFF"/>
          <w:lang w:val="en-US" w:eastAsia="zh-CN" w:bidi="ar"/>
        </w:rPr>
        <w:t>二是积极推进“五好园区”创建</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培育规模工业入库企业30家，已经成功申报8家；完成工业投资 64.51亿元，同比增长12.09 %；规模工业总产值预计完成156.43亿元，同比增长16.45%。拨付了疫情期间“135”工程标准厂房租金奖补31.32万元。</w:t>
      </w:r>
      <w:r>
        <w:rPr>
          <w:rFonts w:hint="eastAsia" w:ascii="仿宋_GB2312" w:hAnsi="微软雅黑" w:eastAsia="仿宋_GB2312" w:cs="仿宋_GB2312"/>
          <w:b/>
          <w:bCs/>
          <w:i w:val="0"/>
          <w:iCs w:val="0"/>
          <w:caps w:val="0"/>
          <w:color w:val="232323"/>
          <w:spacing w:val="0"/>
          <w:kern w:val="0"/>
          <w:sz w:val="32"/>
          <w:szCs w:val="32"/>
          <w:bdr w:val="none" w:color="auto" w:sz="0" w:space="0"/>
          <w:shd w:val="clear" w:fill="FFFFFF"/>
          <w:lang w:val="en-US" w:eastAsia="zh-CN" w:bidi="ar"/>
        </w:rPr>
        <w:t>三是全力推进新能源产业落地落实。</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积极推进总投资72亿元的抽水蓄能项目，确保项目及早签约、加快建设、按期投产。大力推进</w:t>
      </w: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总投资10亿元的</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隆回整县屋顶分布式光伏开发项目。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232323"/>
          <w:spacing w:val="0"/>
          <w:sz w:val="21"/>
          <w:szCs w:val="21"/>
        </w:rPr>
      </w:pPr>
      <w:r>
        <w:rPr>
          <w:rFonts w:hint="eastAsia" w:ascii="楷体" w:hAnsi="楷体" w:eastAsia="楷体" w:cs="楷体"/>
          <w:b/>
          <w:bCs/>
          <w:i w:val="0"/>
          <w:iCs w:val="0"/>
          <w:caps w:val="0"/>
          <w:color w:val="000000"/>
          <w:spacing w:val="0"/>
          <w:kern w:val="0"/>
          <w:sz w:val="32"/>
          <w:szCs w:val="32"/>
          <w:bdr w:val="none" w:color="auto" w:sz="0" w:space="0"/>
          <w:shd w:val="clear" w:fill="FFFFFF"/>
          <w:lang w:val="en-US" w:eastAsia="zh-CN" w:bidi="ar"/>
        </w:rPr>
        <w:t>4.着力推动高质量发展。</w:t>
      </w:r>
      <w:r>
        <w:rPr>
          <w:rFonts w:hint="eastAsia" w:ascii="仿宋_GB2312" w:hAnsi="微软雅黑" w:eastAsia="仿宋_GB2312" w:cs="仿宋_GB2312"/>
          <w:b/>
          <w:bCs/>
          <w:i w:val="0"/>
          <w:iCs w:val="0"/>
          <w:caps w:val="0"/>
          <w:color w:val="232323"/>
          <w:spacing w:val="0"/>
          <w:kern w:val="0"/>
          <w:sz w:val="32"/>
          <w:szCs w:val="32"/>
          <w:bdr w:val="none" w:color="auto" w:sz="0" w:space="0"/>
          <w:shd w:val="clear" w:fill="FFFFFF"/>
          <w:lang w:val="en-US" w:eastAsia="zh-CN" w:bidi="ar"/>
        </w:rPr>
        <w:t>一是强化组织领导。</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牵头负责全县高质量发展综合绩效指标工作，制定下发《隆回县高质量发展综合绩效指标体系（试行）》、《关于2021年度市对县绩效评估指标数据采集单位分解的通知》等文件，全力推进高质量发展综合绩效评价工作。</w:t>
      </w:r>
      <w:r>
        <w:rPr>
          <w:rFonts w:hint="eastAsia" w:ascii="仿宋_GB2312" w:hAnsi="微软雅黑" w:eastAsia="仿宋_GB2312" w:cs="仿宋_GB2312"/>
          <w:b/>
          <w:bCs/>
          <w:i w:val="0"/>
          <w:iCs w:val="0"/>
          <w:caps w:val="0"/>
          <w:color w:val="232323"/>
          <w:spacing w:val="0"/>
          <w:kern w:val="0"/>
          <w:sz w:val="32"/>
          <w:szCs w:val="32"/>
          <w:bdr w:val="none" w:color="auto" w:sz="0" w:space="0"/>
          <w:shd w:val="clear" w:fill="FFFFFF"/>
          <w:lang w:val="en-US" w:eastAsia="zh-CN" w:bidi="ar"/>
        </w:rPr>
        <w:t>二是压实工作责任。</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明确责任领导、分管领导、责任部门和工作联络员。对各项指标的数据采集单位、责任单位进行分解，构建强力工作合力。</w:t>
      </w:r>
      <w:r>
        <w:rPr>
          <w:rFonts w:hint="eastAsia" w:ascii="仿宋_GB2312" w:hAnsi="微软雅黑" w:eastAsia="仿宋_GB2312" w:cs="仿宋_GB2312"/>
          <w:b/>
          <w:bCs/>
          <w:i w:val="0"/>
          <w:iCs w:val="0"/>
          <w:caps w:val="0"/>
          <w:color w:val="232323"/>
          <w:spacing w:val="0"/>
          <w:kern w:val="0"/>
          <w:sz w:val="32"/>
          <w:szCs w:val="32"/>
          <w:bdr w:val="none" w:color="auto" w:sz="0" w:space="0"/>
          <w:shd w:val="clear" w:fill="FFFFFF"/>
          <w:lang w:val="en-US" w:eastAsia="zh-CN" w:bidi="ar"/>
        </w:rPr>
        <w:t>三是加强工作调度。</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实行一周一调度机制，定期分析我县高质量指标情况，牵头组织全县性高质量综合绩效指标评价会议5次，为县委县政府决策提供依据。</w:t>
      </w:r>
      <w:r>
        <w:rPr>
          <w:rFonts w:hint="eastAsia" w:ascii="仿宋_GB2312" w:hAnsi="微软雅黑" w:eastAsia="仿宋_GB2312" w:cs="仿宋_GB2312"/>
          <w:b/>
          <w:bCs/>
          <w:i w:val="0"/>
          <w:iCs w:val="0"/>
          <w:caps w:val="0"/>
          <w:color w:val="232323"/>
          <w:spacing w:val="0"/>
          <w:kern w:val="0"/>
          <w:sz w:val="32"/>
          <w:szCs w:val="32"/>
          <w:bdr w:val="none" w:color="auto" w:sz="0" w:space="0"/>
          <w:shd w:val="clear" w:fill="FFFFFF"/>
          <w:lang w:val="en-US" w:eastAsia="zh-CN" w:bidi="ar"/>
        </w:rPr>
        <w:t>四是严格督导考核。</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把高质量发展贯穿工作的始终，真督实考，将高质量发展综合绩效考评工作纳入全县绩效考核。针对排名情况，对排名开后指标责任单位下发了督办函，有力的促进工作的落实。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232323"/>
          <w:spacing w:val="0"/>
          <w:sz w:val="21"/>
          <w:szCs w:val="21"/>
        </w:rPr>
      </w:pPr>
      <w:r>
        <w:rPr>
          <w:rFonts w:hint="eastAsia" w:ascii="楷体" w:hAnsi="楷体" w:eastAsia="楷体" w:cs="楷体"/>
          <w:b/>
          <w:bCs/>
          <w:i w:val="0"/>
          <w:iCs w:val="0"/>
          <w:caps w:val="0"/>
          <w:color w:val="000000"/>
          <w:spacing w:val="0"/>
          <w:kern w:val="0"/>
          <w:sz w:val="32"/>
          <w:szCs w:val="32"/>
          <w:bdr w:val="none" w:color="auto" w:sz="0" w:space="0"/>
          <w:shd w:val="clear" w:fill="FFFFFF"/>
          <w:lang w:val="en-US" w:eastAsia="zh-CN" w:bidi="ar"/>
        </w:rPr>
        <w:t>5.</w:t>
      </w:r>
      <w:r>
        <w:rPr>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着力深化改革开放</w:t>
      </w:r>
      <w:r>
        <w:rPr>
          <w:rFonts w:hint="eastAsia" w:ascii="楷体" w:hAnsi="楷体" w:eastAsia="楷体" w:cs="楷体"/>
          <w:b/>
          <w:bCs/>
          <w:i w:val="0"/>
          <w:iCs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b/>
          <w:bCs/>
          <w:i w:val="0"/>
          <w:iCs w:val="0"/>
          <w:caps w:val="0"/>
          <w:color w:val="232323"/>
          <w:spacing w:val="-4"/>
          <w:kern w:val="0"/>
          <w:sz w:val="32"/>
          <w:szCs w:val="32"/>
          <w:bdr w:val="none" w:color="auto" w:sz="0" w:space="0"/>
          <w:shd w:val="clear" w:fill="FFFFFF"/>
          <w:lang w:val="en-US" w:eastAsia="zh-CN" w:bidi="ar"/>
        </w:rPr>
        <w:t>一是持续优化营商环境。</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持续深化“放管服”改革，大力实施“一枚印章管审批”，稳步推进“多规合一”“多审合一”“多证合一”；对审批环节的重复材料和过程材料进行整合与删减，实现提效40%；办理用地规划许可等事项缩减至8个工作日；出口退税办结时限缩减至2个工作日，平均法定办理时限提速90%以上；出台了《隆回县工程建设项目“承诺即开工”实施办法》，按照自愿申请、承诺守信的原则，相关部门提前介入、审核把关，促进项目建设提速提效。坚决执行优化营商环境省“十个坚决”和市“十条禁令”。围绕政务、法治、市场、社会四个环境靶向发力，扎实开展“走流程、解难题、优服务”行动，创造性实施“县领导包企业、单位联企业、党政干部助企业”模式，帮扶“四上企业”511家，化解遗留问题209个，企业满意率98.4%。开展优化营商环境专题电视问政，对履职不力、破坏营商环境的5名干部追究法律责任和纪律责任。</w:t>
      </w:r>
      <w:r>
        <w:rPr>
          <w:rFonts w:hint="eastAsia" w:ascii="仿宋_GB2312" w:hAnsi="微软雅黑" w:eastAsia="仿宋_GB2312" w:cs="仿宋_GB2312"/>
          <w:b/>
          <w:bCs/>
          <w:i w:val="0"/>
          <w:iCs w:val="0"/>
          <w:caps w:val="0"/>
          <w:color w:val="232323"/>
          <w:spacing w:val="-4"/>
          <w:kern w:val="0"/>
          <w:sz w:val="32"/>
          <w:szCs w:val="32"/>
          <w:bdr w:val="none" w:color="auto" w:sz="0" w:space="0"/>
          <w:shd w:val="clear" w:fill="FFFFFF"/>
          <w:lang w:val="en-US" w:eastAsia="zh-CN" w:bidi="ar"/>
        </w:rPr>
        <w:t>二是</w:t>
      </w:r>
      <w:r>
        <w:rPr>
          <w:rFonts w:hint="eastAsia" w:ascii="仿宋_GB2312" w:hAnsi="Times New Roman" w:eastAsia="仿宋_GB2312" w:cs="仿宋_GB2312"/>
          <w:b/>
          <w:bCs/>
          <w:i w:val="0"/>
          <w:iCs w:val="0"/>
          <w:caps w:val="0"/>
          <w:color w:val="000000"/>
          <w:spacing w:val="0"/>
          <w:kern w:val="0"/>
          <w:sz w:val="32"/>
          <w:szCs w:val="32"/>
          <w:bdr w:val="none" w:color="auto" w:sz="0" w:space="0"/>
          <w:shd w:val="clear" w:fill="FFFFFF"/>
          <w:lang w:val="en-US" w:eastAsia="zh-CN" w:bidi="ar"/>
        </w:rPr>
        <w:t>加强信用体系建设</w:t>
      </w:r>
      <w:r>
        <w:rPr>
          <w:rFonts w:hint="eastAsia" w:ascii="仿宋_GB2312" w:hAnsi="微软雅黑" w:eastAsia="仿宋_GB2312" w:cs="仿宋_GB2312"/>
          <w:b/>
          <w:bCs/>
          <w:i w:val="0"/>
          <w:iCs w:val="0"/>
          <w:caps w:val="0"/>
          <w:color w:val="232323"/>
          <w:spacing w:val="-4"/>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232323"/>
          <w:spacing w:val="-4"/>
          <w:kern w:val="0"/>
          <w:sz w:val="32"/>
          <w:szCs w:val="32"/>
          <w:bdr w:val="none" w:color="auto" w:sz="0" w:space="0"/>
          <w:shd w:val="clear" w:fill="FFFFFF"/>
          <w:lang w:val="en-US" w:eastAsia="zh-CN" w:bidi="ar"/>
        </w:rPr>
        <w:t>对工程建设领域中介机构、重点项目建设环境状况进行调查摸底，建立建筑行业信用企业名单库，接入市信用体系平台，加强数据共享；组织开展培训会，录入数据全市排名靠前。</w:t>
      </w:r>
      <w:r>
        <w:rPr>
          <w:rFonts w:hint="eastAsia" w:ascii="仿宋_GB2312" w:hAnsi="微软雅黑" w:eastAsia="仿宋_GB2312" w:cs="仿宋_GB2312"/>
          <w:b/>
          <w:bCs/>
          <w:i w:val="0"/>
          <w:iCs w:val="0"/>
          <w:caps w:val="0"/>
          <w:color w:val="232323"/>
          <w:spacing w:val="-4"/>
          <w:kern w:val="0"/>
          <w:sz w:val="32"/>
          <w:szCs w:val="32"/>
          <w:bdr w:val="none" w:color="auto" w:sz="0" w:space="0"/>
          <w:shd w:val="clear" w:fill="FFFFFF"/>
          <w:lang w:val="en-US" w:eastAsia="zh-CN" w:bidi="ar"/>
        </w:rPr>
        <w:t>三是行政审批效率进一步提升。</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全年在湖南省工程建设项目审批管理系统平台共办结项目预计205个，总投资额328.2亿万元。其中审批项目预计60个，投资额181.3亿元；备案项目预计145个，投资额137亿元。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232323"/>
          <w:spacing w:val="0"/>
          <w:sz w:val="21"/>
          <w:szCs w:val="21"/>
        </w:rPr>
      </w:pPr>
      <w:r>
        <w:rPr>
          <w:rFonts w:hint="default" w:ascii="Times New Roman" w:hAnsi="Times New Roman" w:eastAsia="楷体" w:cs="Times New Roman"/>
          <w:b/>
          <w:bCs/>
          <w:i w:val="0"/>
          <w:iCs w:val="0"/>
          <w:caps w:val="0"/>
          <w:color w:val="000000"/>
          <w:spacing w:val="0"/>
          <w:kern w:val="0"/>
          <w:sz w:val="32"/>
          <w:szCs w:val="32"/>
          <w:bdr w:val="none" w:color="auto" w:sz="0" w:space="0"/>
          <w:shd w:val="clear" w:fill="FFFFFF"/>
          <w:lang w:val="en-US" w:eastAsia="zh-CN" w:bidi="ar"/>
        </w:rPr>
        <w:t>6.</w:t>
      </w:r>
      <w:r>
        <w:rPr>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着力</w:t>
      </w:r>
      <w:r>
        <w:rPr>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强化</w:t>
      </w:r>
      <w:r>
        <w:rPr>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民生</w:t>
      </w:r>
      <w:r>
        <w:rPr>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保障</w:t>
      </w:r>
      <w:r>
        <w:rPr>
          <w:rFonts w:hint="eastAsia" w:ascii="楷体" w:hAnsi="楷体" w:eastAsia="楷体" w:cs="楷体"/>
          <w:b/>
          <w:bCs/>
          <w:i w:val="0"/>
          <w:iCs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b/>
          <w:bCs/>
          <w:i w:val="0"/>
          <w:iCs w:val="0"/>
          <w:caps w:val="0"/>
          <w:color w:val="232323"/>
          <w:spacing w:val="0"/>
          <w:kern w:val="0"/>
          <w:sz w:val="32"/>
          <w:szCs w:val="32"/>
          <w:bdr w:val="none" w:color="auto" w:sz="0" w:space="0"/>
          <w:shd w:val="clear" w:fill="FFFFFF"/>
          <w:lang w:val="en-US" w:eastAsia="zh-CN" w:bidi="ar"/>
        </w:rPr>
        <w:t>一是抓牢抓实粮食安全。</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积极开展粮油食品安全专项及粮食加工生产综合大检查；全面完成市委巡察组和市委第十交叉巡察组对我县开展涉粮领域专项巡察问题整改；</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合理安排轮换计划，2022年首次</w:t>
      </w:r>
      <w:r>
        <w:rPr>
          <w:rFonts w:hint="eastAsia" w:ascii="仿宋_GB2312" w:hAnsi="微软雅黑" w:eastAsia="仿宋_GB2312" w:cs="仿宋_GB2312"/>
          <w:i w:val="0"/>
          <w:iCs w:val="0"/>
          <w:caps w:val="0"/>
          <w:color w:val="0F0F0F"/>
          <w:spacing w:val="0"/>
          <w:kern w:val="0"/>
          <w:sz w:val="32"/>
          <w:szCs w:val="32"/>
          <w:bdr w:val="none" w:color="auto" w:sz="0" w:space="0"/>
          <w:shd w:val="clear" w:fill="FFFFFF"/>
          <w:lang w:val="en-US" w:eastAsia="zh-CN" w:bidi="ar"/>
        </w:rPr>
        <w:t>在湖南省粮批市场通过网上公开“挂网”销售县级储备粮1000吨，以高于挂牌价150元/吨的价格顺利出让，为财政减少价差亏损15万余元。</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足额存储成品粮，临储粮应收尽收，截至目前，</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收储新粮103吨</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；大力推进3万吨粮食储备库建设，现主体工程已完工。全力保障武警和驻隆部队</w:t>
      </w:r>
      <w:r>
        <w:rPr>
          <w:rFonts w:hint="eastAsia" w:ascii="仿宋_GB2312" w:hAnsi="微软雅黑" w:eastAsia="仿宋_GB2312" w:cs="仿宋_GB2312"/>
          <w:i w:val="0"/>
          <w:iCs w:val="0"/>
          <w:caps w:val="0"/>
          <w:color w:val="232323"/>
          <w:spacing w:val="-4"/>
          <w:kern w:val="0"/>
          <w:sz w:val="32"/>
          <w:szCs w:val="32"/>
          <w:bdr w:val="none" w:color="auto" w:sz="0" w:space="0"/>
          <w:shd w:val="clear" w:fill="FFFFFF"/>
          <w:lang w:val="en-US" w:eastAsia="zh-CN" w:bidi="ar"/>
        </w:rPr>
        <w:t>的军粮供应；大力培育骨干农业企业，</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泓天现代农业和青山梯田推选为省级放心粮油加工企业；积极指导粮食企业加大技术研发，隆回县跨越现代农业发展有限公司获得实用型专利证书两项，获得计算机软件著作权证书四项</w:t>
      </w:r>
      <w:r>
        <w:rPr>
          <w:rFonts w:hint="eastAsia" w:ascii="仿宋_GB2312" w:hAnsi="微软雅黑" w:eastAsia="仿宋_GB2312" w:cs="仿宋_GB2312"/>
          <w:i w:val="0"/>
          <w:iCs w:val="0"/>
          <w:caps w:val="0"/>
          <w:color w:val="232323"/>
          <w:spacing w:val="-4"/>
          <w:kern w:val="0"/>
          <w:sz w:val="32"/>
          <w:szCs w:val="32"/>
          <w:bdr w:val="none" w:color="auto" w:sz="0" w:space="0"/>
          <w:shd w:val="clear" w:fill="FFFFFF"/>
          <w:lang w:val="en-US" w:eastAsia="zh-CN" w:bidi="ar"/>
        </w:rPr>
        <w:t>。</w:t>
      </w:r>
      <w:r>
        <w:rPr>
          <w:rFonts w:hint="eastAsia"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二是切实做好保供稳价工作。</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切实保障人民群众的“菜篮子”和“米袋子”，加强重要民生商品价格监测，按程序完成县自来水水价调整；全力保障煤、电、油、气供应，确保重要民生物资价格总体稳定。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232323"/>
          <w:spacing w:val="0"/>
          <w:sz w:val="21"/>
          <w:szCs w:val="21"/>
        </w:rPr>
      </w:pPr>
      <w:r>
        <w:rPr>
          <w:rFonts w:hint="default" w:ascii="Times New Roman" w:hAnsi="Times New Roman" w:eastAsia="楷体" w:cs="Times New Roman"/>
          <w:b/>
          <w:bCs/>
          <w:i w:val="0"/>
          <w:iCs w:val="0"/>
          <w:caps w:val="0"/>
          <w:color w:val="000000"/>
          <w:spacing w:val="0"/>
          <w:kern w:val="0"/>
          <w:sz w:val="32"/>
          <w:szCs w:val="32"/>
          <w:bdr w:val="none" w:color="auto" w:sz="0" w:space="0"/>
          <w:shd w:val="clear" w:fill="FFFFFF"/>
          <w:lang w:val="en-US" w:eastAsia="zh-CN" w:bidi="ar"/>
        </w:rPr>
        <w:t>7.</w:t>
      </w:r>
      <w:r>
        <w:rPr>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着力强化自身建设</w:t>
      </w:r>
      <w:r>
        <w:rPr>
          <w:rFonts w:hint="eastAsia" w:ascii="楷体" w:hAnsi="楷体" w:eastAsia="楷体" w:cs="楷体"/>
          <w:b/>
          <w:bCs/>
          <w:i w:val="0"/>
          <w:iCs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一是在党史学习教育学懂弄通做实上下功夫。二是在锤炼作风上下功夫。三是在持续营造风清气正环境上下功夫。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b/>
          <w:bCs/>
          <w:i w:val="0"/>
          <w:iCs w:val="0"/>
          <w:caps w:val="0"/>
          <w:color w:val="000000"/>
          <w:spacing w:val="0"/>
          <w:sz w:val="32"/>
          <w:szCs w:val="32"/>
          <w:bdr w:val="none" w:color="auto" w:sz="0" w:space="0"/>
          <w:shd w:val="clear" w:fill="FFFFFF"/>
        </w:rPr>
        <w:t>   （三）部门整体支出情况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2"/>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2022年总支出13718.19万元，其中人员经费1169.87万元，占总支出的8.53%，日常公用经费223.78万元，占总支出的1.63%，项目支出12324.55万元，占总支出的89.84%。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03"/>
        <w:jc w:val="left"/>
        <w:rPr>
          <w:rFonts w:hint="eastAsia" w:ascii="微软雅黑" w:hAnsi="微软雅黑" w:eastAsia="微软雅黑" w:cs="微软雅黑"/>
          <w:i w:val="0"/>
          <w:iCs w:val="0"/>
          <w:caps w:val="0"/>
          <w:color w:val="232323"/>
          <w:spacing w:val="0"/>
          <w:sz w:val="21"/>
          <w:szCs w:val="21"/>
        </w:rPr>
      </w:pPr>
      <w:r>
        <w:rPr>
          <w:rFonts w:hint="eastAsia" w:ascii="黑体" w:hAnsi="宋体" w:eastAsia="黑体" w:cs="黑体"/>
          <w:b/>
          <w:bCs/>
          <w:i w:val="0"/>
          <w:iCs w:val="0"/>
          <w:caps w:val="0"/>
          <w:color w:val="232323"/>
          <w:spacing w:val="0"/>
          <w:kern w:val="0"/>
          <w:sz w:val="32"/>
          <w:szCs w:val="32"/>
          <w:bdr w:val="none" w:color="auto" w:sz="0" w:space="0"/>
          <w:shd w:val="clear" w:fill="FFFFFF"/>
          <w:lang w:val="en-US" w:eastAsia="zh-CN" w:bidi="ar"/>
        </w:rPr>
        <w:t>二、部门整体支出管理及使用情况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232323"/>
          <w:spacing w:val="0"/>
          <w:sz w:val="21"/>
          <w:szCs w:val="21"/>
        </w:rPr>
      </w:pPr>
      <w:r>
        <w:rPr>
          <w:rFonts w:hint="eastAsia" w:ascii="楷体" w:hAnsi="楷体" w:eastAsia="楷体" w:cs="楷体"/>
          <w:b/>
          <w:bCs/>
          <w:i w:val="0"/>
          <w:iCs w:val="0"/>
          <w:caps w:val="0"/>
          <w:color w:val="232323"/>
          <w:spacing w:val="0"/>
          <w:kern w:val="0"/>
          <w:sz w:val="32"/>
          <w:szCs w:val="32"/>
          <w:bdr w:val="none" w:color="auto" w:sz="0" w:space="0"/>
          <w:shd w:val="clear" w:fill="FFFFFF"/>
          <w:lang w:val="en-US" w:eastAsia="zh-CN" w:bidi="ar"/>
        </w:rPr>
        <w:t>（一）基本支出情况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2022年基本支出1393.65万元，是经为保障单位机构正常运转而发生的各项支出，包括用于基本工资、津贴补贴、对人员和家庭补贴等人员经费以及办公费、印刷费、水平电费及办设备购置等日常公用经费。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25" w:right="0" w:firstLine="0"/>
        <w:jc w:val="left"/>
        <w:rPr>
          <w:rFonts w:hint="eastAsia" w:ascii="微软雅黑" w:hAnsi="微软雅黑" w:eastAsia="微软雅黑" w:cs="微软雅黑"/>
          <w:i w:val="0"/>
          <w:iCs w:val="0"/>
          <w:caps w:val="0"/>
          <w:color w:val="232323"/>
          <w:spacing w:val="0"/>
          <w:sz w:val="21"/>
          <w:szCs w:val="21"/>
        </w:rPr>
      </w:pPr>
      <w:r>
        <w:rPr>
          <w:rFonts w:hint="eastAsia" w:ascii="楷体" w:hAnsi="楷体" w:eastAsia="楷体" w:cs="楷体"/>
          <w:b/>
          <w:bCs/>
          <w:i w:val="0"/>
          <w:iCs w:val="0"/>
          <w:caps w:val="0"/>
          <w:color w:val="232323"/>
          <w:spacing w:val="0"/>
          <w:kern w:val="0"/>
          <w:sz w:val="32"/>
          <w:szCs w:val="32"/>
          <w:bdr w:val="none" w:color="auto" w:sz="0" w:space="0"/>
          <w:shd w:val="clear" w:fill="FFFFFF"/>
          <w:lang w:val="en-US" w:eastAsia="zh-CN" w:bidi="ar"/>
        </w:rPr>
        <w:t>（二）项目支出情况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2"/>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sz w:val="32"/>
          <w:szCs w:val="32"/>
          <w:bdr w:val="none" w:color="auto" w:sz="0" w:space="0"/>
          <w:shd w:val="clear" w:fill="FFFFFF"/>
        </w:rPr>
        <w:t>2022年项目支出12324.55万元，是指单位为完成选定行政工作或事业发展目标面发生的支出，包括有关事业发展专项、专项业务费、项目前期费、中央、省预算内项目专项。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2"/>
        <w:rPr>
          <w:rFonts w:hint="eastAsia" w:ascii="微软雅黑" w:hAnsi="微软雅黑" w:eastAsia="微软雅黑" w:cs="微软雅黑"/>
          <w:i w:val="0"/>
          <w:iCs w:val="0"/>
          <w:caps w:val="0"/>
          <w:color w:val="232323"/>
          <w:spacing w:val="0"/>
          <w:sz w:val="21"/>
          <w:szCs w:val="21"/>
        </w:rPr>
      </w:pPr>
      <w:r>
        <w:rPr>
          <w:rFonts w:hint="eastAsia" w:ascii="楷体" w:hAnsi="楷体" w:eastAsia="楷体" w:cs="楷体"/>
          <w:b/>
          <w:bCs/>
          <w:i w:val="0"/>
          <w:iCs w:val="0"/>
          <w:caps w:val="0"/>
          <w:color w:val="232323"/>
          <w:spacing w:val="0"/>
          <w:sz w:val="32"/>
          <w:szCs w:val="32"/>
          <w:bdr w:val="none" w:color="auto" w:sz="0" w:space="0"/>
          <w:shd w:val="clear" w:fill="FFFFFF"/>
        </w:rPr>
        <w:t>（三）“三公”经费情况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     1</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．因公出国（境）费用：没有。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     2．公务接待费；2022年部门预算安排15.00万元，实际支出</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3.19万</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     3．公务用车购置及运行费预算安排0万元，实际支出0万元。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黑体" w:hAnsi="宋体" w:eastAsia="黑体" w:cs="黑体"/>
          <w:i w:val="0"/>
          <w:iCs w:val="0"/>
          <w:caps w:val="0"/>
          <w:color w:val="232323"/>
          <w:spacing w:val="0"/>
          <w:kern w:val="0"/>
          <w:sz w:val="32"/>
          <w:szCs w:val="32"/>
          <w:bdr w:val="none" w:color="auto" w:sz="0" w:space="0"/>
          <w:shd w:val="clear" w:fill="FFFFFF"/>
          <w:lang w:val="en-US" w:eastAsia="zh-CN" w:bidi="ar"/>
        </w:rPr>
        <w:t>三、部门整体支出绩效情况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2022年，根据我局年工作要点和重点工作，围绕县委、县政府的中心工作，积极履行职责，强化管理，较好地完成了工作目标，同时加强预算收支的管理，建立健全内部管理制度，严格内部管理流程，部门整体支出管理得到了提升。  全年度本部门整体支出绩效情况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1、本年预算配置控制较好，严格控制财政供养人员，因机构改革，2022年我局“三公”经费支出与去年减少2.68万元、减幅达45.63%。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2、预算管理方面，制订了切实有效的内部财务、资产管理制度，执行总体较为有效。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一方面，严格预算支出管理。在支出预算编制上，人员经费按照配置定额，公用经费分类分档，按定额编制，根据“总量控制，计划管理”的要求从严控制行政经费，压缩公务开支，严格控制“三公经费”，资产的配置严格政府采购，按照预算科目和项目资金的规定使用财政资金，保障部门整体支出的规范化、制度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另一方面，财务管理上，按照国家相关法律法规，制定了机关财务、办公购置使用、接待会务等管理制度，并严格按照制度管理和执行，防范风险，保证财政资金的安全和高效运行。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黑体" w:hAnsi="宋体" w:eastAsia="黑体" w:cs="黑体"/>
          <w:i w:val="0"/>
          <w:iCs w:val="0"/>
          <w:caps w:val="0"/>
          <w:color w:val="232323"/>
          <w:spacing w:val="0"/>
          <w:kern w:val="0"/>
          <w:sz w:val="32"/>
          <w:szCs w:val="32"/>
          <w:bdr w:val="none" w:color="auto" w:sz="0" w:space="0"/>
          <w:shd w:val="clear" w:fill="FFFFFF"/>
          <w:lang w:val="en-US" w:eastAsia="zh-CN" w:bidi="ar"/>
        </w:rPr>
        <w:t>四、存在的问题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i w:val="0"/>
          <w:iCs w:val="0"/>
          <w:caps w:val="0"/>
          <w:color w:val="232323"/>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 1、预算编制与实际支出项目有的存在差异，预算编制有待更科学更合理。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2、公用经费预算严重不足。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3、专业人才不够。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黑体" w:hAnsi="宋体" w:eastAsia="黑体" w:cs="黑体"/>
          <w:i w:val="0"/>
          <w:iCs w:val="0"/>
          <w:caps w:val="0"/>
          <w:color w:val="232323"/>
          <w:spacing w:val="0"/>
          <w:kern w:val="0"/>
          <w:sz w:val="32"/>
          <w:szCs w:val="32"/>
          <w:bdr w:val="none" w:color="auto" w:sz="0" w:space="0"/>
          <w:shd w:val="clear" w:fill="FFFFFF"/>
          <w:lang w:val="en-US" w:eastAsia="zh-CN" w:bidi="ar"/>
        </w:rPr>
        <w:t>五、改进措施和有关建议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1、年初预算编制应更加精准和细化，尽量预算和支出项目一一对应。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kern w:val="0"/>
          <w:sz w:val="32"/>
          <w:szCs w:val="32"/>
          <w:bdr w:val="none" w:color="auto" w:sz="0" w:space="0"/>
          <w:shd w:val="clear" w:fill="FFFFFF"/>
          <w:lang w:val="en-US" w:eastAsia="zh-CN" w:bidi="ar"/>
        </w:rPr>
        <w:t>2、年初预算时增加发改的公用经费预算。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232323"/>
          <w:spacing w:val="0"/>
          <w:sz w:val="21"/>
          <w:szCs w:val="21"/>
        </w:rPr>
      </w:pPr>
      <w:r>
        <w:rPr>
          <w:rFonts w:hint="eastAsia" w:ascii="仿宋_GB2312" w:hAnsi="微软雅黑" w:eastAsia="仿宋_GB2312" w:cs="仿宋_GB2312"/>
          <w:i w:val="0"/>
          <w:iCs w:val="0"/>
          <w:caps w:val="0"/>
          <w:color w:val="232323"/>
          <w:spacing w:val="0"/>
          <w:sz w:val="32"/>
          <w:szCs w:val="32"/>
          <w:bdr w:val="none" w:color="auto" w:sz="0" w:space="0"/>
          <w:shd w:val="clear" w:fill="FFFFFF"/>
        </w:rPr>
        <w:t>    3、通过公开招考的形式从应往届大学生中招聘相关专业人才。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zc2NzJkOTM0NWQ0YmRiNjk2NWY5NjEyY2U5OWMifQ=="/>
  </w:docVars>
  <w:rsids>
    <w:rsidRoot w:val="00000000"/>
    <w:rsid w:val="587E5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2023-09-26T01:40:40Z</dcterms:created>
  <dc:creator>Administrator.pc-201712171005</dc:creator>
  <cp:lastModifiedBy>Administrator</cp:lastModifiedBy>
  <dcterms:modified xsi:type="dcterms:W3CDTF">2023-09-26T01:41:16Z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65533E36F26A4186AD4AEE93CDA5BF43_12</vt:lpwstr>
  </property>
</Properties>
</file>