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4"/>
        <w:tblW w:w="9240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675"/>
        <w:gridCol w:w="1026"/>
        <w:gridCol w:w="2372"/>
        <w:gridCol w:w="605"/>
        <w:gridCol w:w="567"/>
        <w:gridCol w:w="992"/>
        <w:gridCol w:w="560"/>
        <w:gridCol w:w="7"/>
        <w:gridCol w:w="993"/>
        <w:gridCol w:w="494"/>
        <w:gridCol w:w="765"/>
        <w:gridCol w:w="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79" w:hRule="exac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524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87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88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3543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52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主要职责:（一）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接收按规定应移交进馆的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县直各单位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征集散存在社会上的反映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隆回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各个历史时期具有重要价值的档案资料；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负责收集重要会议、重要人物、重大活动档案资料；负责提供县直改制企业档案寄存服务；负责接收县直单位现行文件。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（二）负责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征集的档案资料进行鉴定、整理、归档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；负责对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馆藏档案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科学分类和保管，建立全宗卷，记载立档单位和全宗历史演变情况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负责馆藏档案的鉴定开放，编制检索工具，提供档案信息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及政府现行文件的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查阅利用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；负责馆藏档案安全，维护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馆藏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档案完整，保守党和国家机密。（三）围绕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政府工作需要，开展档案史料的研究和编辑工作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利用馆藏档案资料举办展览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活动，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编辑档案文件汇集和其他有利用价值的参考资料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经批准后公开档案文件和史料。（四）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推进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数字化建设，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按照档案工作信息化发展方向，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全方位有效地开发档案信息资源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，开展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档案管理技术研究，提高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档案管理现代化水平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，实现档案管理由智能化向智慧化发展。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承担县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办公室和上级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交办的其他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228.81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0.2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34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4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168.07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0.30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20.19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20.19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142.17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68.85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2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52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87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524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374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大力开展信息化建设，年内完成28万页的档案信息化扫描加工。2、稳步推进档案馆新馆建设，目前已完成规划设计、建设范围内征地用地审批工作，进入场平阶段。3、强化馆藏档案安全与保管保护工作。库房装具条件不断完善，加强了档案保管保护工作。4、竭力提供优质档案查阅服务，一年来共接待查档人数3623人，查阅资料12258卷。5、扎实开展档案业务指导与接收工作。花门街道办事处档案实地封存移交进馆；将国土执法大队等会计凭证60册移交进馆；积极对全县机关单位开展业务指导工作；积极参与农业农村档案管理事务，将24万余农户土地确权纸质档案接收进馆。6、做好25个乡镇（街道）档案事业统计调查工作。7、6.9国际档案日创新宣传方式，发动全馆同志撰写征文。8、扎实开展精准扶贫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17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28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43" w:hRule="atLeast"/>
        </w:trPr>
        <w:tc>
          <w:tcPr>
            <w:tcW w:w="6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50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left="420" w:leftChars="200" w:firstLine="0" w:firstLineChars="0"/>
        <w:rPr>
          <w:rFonts w:eastAsia="黑体"/>
          <w:kern w:val="0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陈曦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15973****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90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</w:t>
      </w: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隆回县档案馆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2020年度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</w:t>
      </w:r>
      <w:r>
        <w:rPr>
          <w:rFonts w:hint="eastAsia" w:eastAsia="仿宋_GB2312"/>
          <w:sz w:val="32"/>
          <w:szCs w:val="32"/>
          <w:lang w:eastAsia="zh-CN"/>
        </w:rPr>
        <w:t>隆回县档案馆属县委办直属公益一类正科级事业单位，内设办公室、保管利用部、接收编研部。编制人数为</w:t>
      </w:r>
      <w:r>
        <w:rPr>
          <w:rFonts w:hint="eastAsia" w:eastAsia="仿宋_GB2312"/>
          <w:sz w:val="32"/>
          <w:szCs w:val="32"/>
          <w:lang w:val="en-US" w:eastAsia="zh-CN"/>
        </w:rPr>
        <w:t>6人，实际人数7人，其中在职7人，退休11人。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（二）基本职能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1、负责接收各类档案。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2、负责对所征集档案进行鉴定、整理、归档并分类和保管，建立全宗卷。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3、负责馆藏档案鉴定开放，编制检索，提供查阅利用服务。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4、围绕县委和县政府工作需要，开展档案史料的研究和编辑。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5、负责推进县档案馆数字化建设。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6、承担县委办公室和上级交办的其他事项。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年重点工作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1、大力开展信息化建设，年内完成28万页的档案信息化扫描加工。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2、稳步推进档案馆新馆建设，目前已完成规划设计、建设范围内征地用地审批工作，进入场平阶段。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3、强化馆藏档案安全与保管保护工作。库房装具条件不断完善，加强了档案保管保护工作。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4、竭力提供优质档案查阅服务，一年来共接待查档人数3623人，查阅资料12258卷。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扎实开展档案业务指导与接收工作。花门街道办事处档案实地封存移交进馆；将国土执法大队等会计凭证60册移交进馆；积极对全县机关单位开展业务指导工作；积极参与农业农村档案管理事务，将24万余农户土地确权纸质档案接收进馆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6、做好25个乡镇（街道）档案事业统计调查工作。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7、6.9国际档案日创新宣传方式，发动全馆同志撰写征文。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8、扎实开展精准扶贫工作。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textAlignment w:val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（三）部门整体支出情况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4" w:firstLineChars="3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lang w:eastAsia="zh-CN"/>
        </w:rPr>
        <w:t>收入预算：</w:t>
      </w:r>
      <w:r>
        <w:rPr>
          <w:rFonts w:hint="eastAsia" w:ascii="仿宋" w:hAnsi="仿宋" w:eastAsia="仿宋" w:cs="仿宋"/>
          <w:lang w:val="en-US" w:eastAsia="zh-CN"/>
        </w:rPr>
        <w:t>2020年年初预算数86.64万元，年终调整预算数228.81万元，决算数228.81万元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4" w:firstLineChars="3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2、支出预算数：</w:t>
      </w:r>
      <w:r>
        <w:rPr>
          <w:rFonts w:hint="eastAsia" w:ascii="仿宋" w:hAnsi="仿宋" w:eastAsia="仿宋" w:cs="仿宋"/>
          <w:lang w:val="en-US" w:eastAsia="zh-CN"/>
        </w:rPr>
        <w:t>2020年年初预算数86.64万元，年终调整预算数168.07万元，决算数168.07万元。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2020年年末决算数为133.07万元，其中人员经费69.50万元，日常公用经费63.57万元，用于保障单位正常运转，完成日常工作而发生的各项支出，</w:t>
      </w:r>
      <w:r>
        <w:rPr>
          <w:rFonts w:hint="eastAsia" w:ascii="仿宋" w:hAnsi="仿宋" w:eastAsia="仿宋" w:cs="仿宋"/>
          <w:sz w:val="32"/>
          <w:szCs w:val="32"/>
        </w:rPr>
        <w:t>包括用于基本工资、绩效工资等人员经费以及办公费、印刷费、水电费及办公设备购置等日常公用经费。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项目支出情况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2020年决算数为35万元，主要用于档案保管保护、接收等支出。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b/>
          <w:bCs/>
          <w:i w:val="0"/>
          <w:iCs w:val="0"/>
          <w:sz w:val="32"/>
          <w:szCs w:val="32"/>
        </w:rPr>
      </w:pPr>
      <w:r>
        <w:rPr>
          <w:rFonts w:hint="eastAsia" w:eastAsia="仿宋_GB2312"/>
          <w:b/>
          <w:bCs/>
          <w:i w:val="0"/>
          <w:iCs w:val="0"/>
          <w:sz w:val="32"/>
          <w:szCs w:val="32"/>
          <w:lang w:eastAsia="zh-CN"/>
        </w:rPr>
        <w:t>（三）</w:t>
      </w:r>
      <w:r>
        <w:rPr>
          <w:rFonts w:hint="eastAsia" w:eastAsia="仿宋_GB2312"/>
          <w:b/>
          <w:bCs/>
          <w:i w:val="0"/>
          <w:iCs w:val="0"/>
          <w:sz w:val="32"/>
          <w:szCs w:val="32"/>
        </w:rPr>
        <w:t>三公经费情况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严格控制“三公”经费，其中因公出国（境）费0元，公务接待费3015元，公务用车购置及运行费0元。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资产管理：及时按照要求报送资产情况报表，确保各项资产核算准确，账实相符，管理到位。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预决算公开：及时在县人民政府门户网站上进行了预决算公开。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“三公经费”控制情况：能严格遵守各项规章制度，严控“三公”经费支出。财政供养人员控制在预算编制以内；“三公”经费预算总额比上年减少。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1、预算编制工作有待细化。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预算编制不够明确和细化，预算编制的合理性需要提高，预算执行力还要进一步加强。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2、档案信息化建设程度不够，推进档案数字化建设速度较慢。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五、改进措施和有关建议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细化预算编制工作，认真做好预算编制。进一步加强单位内部机构各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（二）建议：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逐年增加信息化扫描经费。随着上级对档案工作信息要求越来越高，我县目前编入的档案信息化经费预算根本无法达到上级标准，速度远远跟不上形势，特请求增加专项经费预算，加快档案信息化进程。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隆回县档案馆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2020年4月26日</w:t>
      </w:r>
    </w:p>
    <w:sectPr>
      <w:pgSz w:w="11906" w:h="16838"/>
      <w:pgMar w:top="1984" w:right="1531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3E49"/>
    <w:rsid w:val="121B3DF9"/>
    <w:rsid w:val="15484528"/>
    <w:rsid w:val="15AD231A"/>
    <w:rsid w:val="15DA1F6B"/>
    <w:rsid w:val="168B3635"/>
    <w:rsid w:val="18FE0C44"/>
    <w:rsid w:val="1C814232"/>
    <w:rsid w:val="264A62CB"/>
    <w:rsid w:val="2EC02F60"/>
    <w:rsid w:val="315376B8"/>
    <w:rsid w:val="380F04D8"/>
    <w:rsid w:val="440B3314"/>
    <w:rsid w:val="452B1BE3"/>
    <w:rsid w:val="466E6E7D"/>
    <w:rsid w:val="4B4E48DB"/>
    <w:rsid w:val="4C097CCC"/>
    <w:rsid w:val="65D540E4"/>
    <w:rsid w:val="68C1594C"/>
    <w:rsid w:val="715E631B"/>
    <w:rsid w:val="76350BA7"/>
    <w:rsid w:val="77B23E49"/>
    <w:rsid w:val="79360D5A"/>
    <w:rsid w:val="79D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2021-04-21T02:30:00Z</dcterms:created>
  <dc:creator>晨惟曦</dc:creator>
  <cp:lastModifiedBy>穆色倾城</cp:lastModifiedBy>
  <cp:lastPrinted>2021-04-22T02:00:00Z</cp:lastPrinted>
  <dcterms:modified xsi:type="dcterms:W3CDTF">2022-04-28T08:01:06Z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527AE8FEE45047439498BEE9B19F01B6</vt:lpwstr>
  </property>
</Properties>
</file>