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6"/>
        <w:tblW w:w="91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410"/>
        <w:gridCol w:w="1149"/>
        <w:gridCol w:w="321"/>
        <w:gridCol w:w="810"/>
        <w:gridCol w:w="705"/>
        <w:gridCol w:w="890"/>
        <w:gridCol w:w="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62" w:type="dxa"/>
            <w:gridSpan w:val="9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232323"/>
                <w:spacing w:val="0"/>
                <w:sz w:val="21"/>
                <w:szCs w:val="21"/>
                <w:shd w:val="clear" w:fill="FFFFFF"/>
              </w:rPr>
              <w:t>隆回县城市管理和综合执法局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26" w:type="dxa"/>
            <w:gridSpan w:val="5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62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32323"/>
                <w:spacing w:val="0"/>
                <w:sz w:val="24"/>
                <w:szCs w:val="24"/>
                <w:shd w:val="clear" w:fill="FFFFFF"/>
              </w:rPr>
              <w:t>主要行使县城规划区市容环境卫生、城市园林绿化、市政管理、环境保护、工商行政管理、城市公共客运、公安管理等城市方面法律、法规规定的全部或部分行政处罚权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2510.9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10" w:type="dxa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515.5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90" w:type="dxa"/>
            <w:gridSpan w:val="2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3026.40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10" w:type="dxa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0" w:type="dxa"/>
            <w:gridSpan w:val="2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2818.84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350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3168.84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69.13</w:t>
            </w:r>
          </w:p>
        </w:tc>
        <w:tc>
          <w:tcPr>
            <w:tcW w:w="1470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10" w:type="dxa"/>
            <w:vMerge w:val="continue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47.16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47.16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20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362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362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" w:char="00FE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30" w:type="dxa"/>
            <w:gridSpan w:val="10"/>
            <w:vAlign w:val="center"/>
          </w:tcPr>
          <w:p>
            <w:pPr>
              <w:ind w:firstLine="120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从整体情况来看，我局严格按照年初预算进行部门整体支出。在支出过程中，能严格遵守各项规章制度，严控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</w:rPr>
              <w:t>“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三公经费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</w:rPr>
              <w:t>”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支出。所有项目都详细制定了方案，严格按方案组织实施，并加强了监督。尤其是在专项经费支出上，我们能专款专用，按项目实施计划的进度情况进行资金拨付，无截留、无挪用等现象。实行先有预算、后有执行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</w:rPr>
              <w:t>“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用钱必问效、无效必问责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</w:rPr>
              <w:t>”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的新常态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30" w:type="dxa"/>
            <w:gridSpan w:val="1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3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存在问题：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资金使用效益有待进一步提高。</w:t>
            </w:r>
          </w:p>
          <w:p>
            <w:pPr>
              <w:numPr>
                <w:ilvl w:val="0"/>
                <w:numId w:val="1"/>
              </w:numPr>
              <w:ind w:firstLine="1200" w:firstLineChars="50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绩效目标设立不够明确、细化和量化。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建议：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请财政根据我局的实际情况，提高年初部门预算额度，将常规项目支出纳入年度预算，并增加相关项目支出预算。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30" w:type="dxa"/>
            <w:gridSpan w:val="1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eastAsia="zh-CN"/>
        </w:rPr>
        <w:t>赵建军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>13973913231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27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2"/>
        <w:rPr>
          <w:rFonts w:eastAsia="黑体"/>
          <w:kern w:val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</w:rPr>
        <w:t>城管局</w:t>
      </w:r>
      <w:r>
        <w:rPr>
          <w:rFonts w:hint="eastAsia"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</w:rPr>
        <w:t>20</w:t>
      </w:r>
      <w:r>
        <w:rPr>
          <w:rFonts w:hint="eastAsia"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</w:rPr>
        <w:t>年部门整体支出绩效评价报告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36"/>
          <w:szCs w:val="36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一、部门概况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（一）部门基本情况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我局于2005年12月19日正式挂牌成立，为县人民政府工作部门。2017年底城管体制改革，将县城市管理行政执法局更名为县城市管理和综合执法局，增设指挥中心1个内设机构，组建县城市管理和综合执法局工业集中区分局1个派出机构，下设县城市管理和综合执法一大队，县城市管理和综合执法二大队、县城市管理和综合执法三大队、县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城市管理综合服务中心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、县公用事业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服务中心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5个二级机构，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二级机构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均为副科级公益一类事业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，主要行使县城规划区市容环境卫生、城市园林绿化、市政管理、环境保护、工商行政管理、公安管理等城市方面法律、法规规定的全部或部分行政处罚权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（二）20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年的重点工作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，我局紧紧围绕市委、市政府及县委、县政府重点工作安排，全面开展市容秩序维护、环境卫生清扫保洁、园林绿化设施建设运行、市政公用设施运行维护管理、城区扬尘污染治理等工作，我县城区市容市貌规范有序、城市环境整洁卫生、园林绿化及市政公用设施运行有序、城区空气评价指标较去年有所提升。现将今年的工作总结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1、持续推进市容秩序治理，城区市容市貌规范有序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2、继续推行分片保洁，城市环境水体干净整洁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3、不断加大扬尘污染防治，城区空气质量逐步改善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4、全面实施园林绿化管理，城区大街小巷新气盎然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23232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5、着力加强维护运行管理，市政公用设施安全运行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23232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6、全力开展控建拆违，城区整座违法建设实现零增长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7、积极开展党建等工作，其他各项工作齐头并进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二、部门整体支出情况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（一）基本支出情况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94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年我局一般公共预算财政拨款基本支出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3168.84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万元，其中：工资福利支出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2085.37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万元,商品和福利支出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947.63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万元,对个人和家庭补助支出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88.68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万元，其他资本性支出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47.16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同比上年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增加的主要原因是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城管体制改革，根据“权随事走，人随事调，费随事转”的原则，进行机构、编制、人员的划转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城管职能、人员的增加，机关运行经费、人员经费相应增加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随着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城区范围不断扩大、业务量增加，项目支出增加。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（二）项目支出情况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年我局一般公共预算财政拨款项目（拆违控建指挥部及城管局拆违控建执法队）支出3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50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万元，其中工资福利支出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128.95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万元，商品服务支出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213.84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万元。对个人和家庭和补助支出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2.04万元，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其他资本性支出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5.17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（三）“三公”经费情况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年“三公”经费预算数为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60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万元，决算数为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69.13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1、因公出国（境）费用数为0万元，因公出国（境）0批次0人次。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2、公务接待费为11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.52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3、公务用车购置及运行费为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57.61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年我局“三公”经费来源于以下几个方面：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是控建拆违租用执法车辆7辆，租车费、油料费增加；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是我局组织大型拆违执法行动的盒饭费。202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2年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我局将严格按照中央、省、市、县委县政府要求，厉行节约，继续严控“三公”经费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三、部门整体支出绩效情况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从整体情况来看，我局严格按照年初预算进行部门整体支出。在支出过程中，能严格遵守各项规章制度，所有项目都详细制定了方案，严格按方案组织实施，并加强了监督。尤其是在专项经费支出上，我们能专款专用，按项目实施计划的进度情况进行资金拨付，无截留、无挪用等现象，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在保证各项任务顺利完成的同时，严格落实厉行节约的原则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。实行了先有预算、后有执行、“用钱必问效、无效必问责”的新常态。主要绩效情况如下：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1、预决算公开：20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年，按照上级的要求，我局在政府门户网站上进行了预决算公开。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2、资产管理：201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年我局组织局机关及局属各单位进行全面的资产清查，并就清查中发现的问题进行全面整改。完善了《隆回县城市管理行政执法局财务管理制度》、《隆回县城市管理行政执法局固定资产管理制度》及局属单位财务管理制度，确保各项资产核算准确、账实相符、管理到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3、“三公经费”控制情况：贯彻落实上级有关精神，严格控制“三公经费”支出，取得了良好效果。同时，按按照上级的要求，在单位门户网站上对“三公”经费情况进行了公示。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4、内部管理制度建设情况：近年来，我局制定、完善了《隆回县城市管理和综合执法局财务管理制度》、《隆回县城市管理和综合执法局车辆管理制度》、《隆回县城市管理和综合执法局差旅费管理实施办法》等一系列内部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四、存在的问题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回顾一年的工作，有亮点、有突破、有提升，但还存在一此问题，一是资金使用效益有待进一步提高。二是绩效目标设立不够明确、细化和量化。项目单位虽然设立了项目资金绩效目标，但目标不够明确、细化和量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五、改进措施和有关建议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请财政根据我局的实际情况，提高年初部门预算额度，将常规项目支出纳入年度预算，并增加相关项目支出预算。</w:t>
      </w:r>
    </w:p>
    <w:p/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F67"/>
    <w:multiLevelType w:val="singleLevel"/>
    <w:tmpl w:val="40276F6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878C6"/>
    <w:rsid w:val="21E955BB"/>
    <w:rsid w:val="21ED7D4A"/>
    <w:rsid w:val="2D9A71CC"/>
    <w:rsid w:val="347067DC"/>
    <w:rsid w:val="5D6878C6"/>
    <w:rsid w:val="5E206FB0"/>
    <w:rsid w:val="60005BB1"/>
    <w:rsid w:val="615D0DBC"/>
    <w:rsid w:val="6DF239F7"/>
    <w:rsid w:val="76D73FDC"/>
    <w:rsid w:val="7D1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2022-04-27T01:42:00Z</dcterms:created>
  <dc:creator>Administrator</dc:creator>
  <cp:lastModifiedBy>Administrator</cp:lastModifiedBy>
  <cp:lastPrinted>2022-05-09T08:25:00Z</cp:lastPrinted>
  <dcterms:modified xsi:type="dcterms:W3CDTF">2022-08-23T00:41:19Z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