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0" w:line="600" w:lineRule="exact"/>
        <w:ind w:right="0" w:firstLine="0"/>
        <w:jc w:val="center"/>
        <w:rPr>
          <w:rFonts w:hint="default" w:ascii="方正小标宋_GBK" w:hAnsi="Times New Roman" w:eastAsia="Times New Roman"/>
          <w:color w:val="auto"/>
          <w:position w:val="0"/>
          <w:sz w:val="36"/>
          <w:szCs w:val="36"/>
        </w:rPr>
      </w:pPr>
      <w:r>
        <w:rPr>
          <w:rFonts w:hint="default" w:ascii="黑体" w:hAnsi="黑体" w:eastAsia="黑体"/>
          <w:color w:val="auto"/>
          <w:position w:val="0"/>
          <w:sz w:val="32"/>
          <w:szCs w:val="32"/>
        </w:rPr>
        <w:t>2017年度隆回县司法局</w:t>
      </w:r>
      <w:r>
        <w:rPr>
          <w:rFonts w:hint="default" w:ascii="方正小标宋_GBK" w:hAnsi="方正小标宋_GBK" w:eastAsia="方正小标宋_GBK"/>
          <w:color w:val="auto"/>
          <w:position w:val="0"/>
          <w:sz w:val="36"/>
          <w:szCs w:val="36"/>
        </w:rPr>
        <w:t>部门整体支出绩效自评基础数据表</w:t>
      </w:r>
    </w:p>
    <w:tbl>
      <w:tblPr>
        <w:tblStyle w:val="24"/>
        <w:tblW w:w="943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560"/>
        <w:gridCol w:w="7"/>
        <w:gridCol w:w="993"/>
        <w:gridCol w:w="494"/>
        <w:gridCol w:w="1069"/>
        <w:gridCol w:w="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431" w:type="dxa"/>
            <w:gridSpan w:val="13"/>
            <w:tcBorders>
              <w:top w:val="nil"/>
              <w:left w:val="nil"/>
              <w:bottom w:val="nil"/>
              <w:right w:val="nil"/>
            </w:tcBorders>
            <w:vAlign w:val="center"/>
          </w:tcPr>
          <w:p>
            <w:pPr>
              <w:numPr>
                <w:ilvl w:val="0"/>
                <w:numId w:val="0"/>
              </w:numPr>
              <w:autoSpaceDE/>
              <w:autoSpaceDN/>
              <w:spacing w:before="0" w:after="0" w:line="600" w:lineRule="exact"/>
              <w:ind w:right="0" w:firstLine="0"/>
              <w:jc w:val="center"/>
              <w:rPr>
                <w:rFonts w:hint="default" w:ascii="黑体" w:hAnsi="黑体" w:eastAsia="黑体"/>
                <w:color w:val="auto"/>
                <w:position w:val="0"/>
                <w:sz w:val="21"/>
                <w:szCs w:val="21"/>
              </w:rPr>
            </w:pPr>
            <w:r>
              <w:rPr>
                <w:rFonts w:hint="default" w:ascii="黑体" w:hAnsi="黑体" w:eastAsia="黑体"/>
                <w:color w:val="auto"/>
                <w:position w:val="0"/>
                <w:sz w:val="21"/>
                <w:szCs w:val="21"/>
              </w:rPr>
              <w:t>（2017年度）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1036" w:hRule="exact"/>
        </w:trPr>
        <w:tc>
          <w:tcPr>
            <w:tcW w:w="533" w:type="dxa"/>
            <w:vMerge w:val="restart"/>
            <w:vAlign w:val="center"/>
          </w:tcPr>
          <w:p>
            <w:pPr>
              <w:numPr>
                <w:ilvl w:val="0"/>
                <w:numId w:val="0"/>
              </w:numPr>
              <w:autoSpaceDE/>
              <w:autoSpaceDN/>
              <w:spacing w:before="0" w:after="0" w:line="560" w:lineRule="exact"/>
              <w:ind w:right="0" w:firstLine="0"/>
              <w:jc w:val="center"/>
              <w:rPr>
                <w:rFonts w:hint="default" w:ascii="楷体" w:hAnsi="楷体" w:eastAsia="楷体"/>
                <w:color w:val="auto"/>
                <w:position w:val="0"/>
                <w:sz w:val="21"/>
                <w:szCs w:val="21"/>
              </w:rPr>
            </w:pPr>
            <w:r>
              <w:rPr>
                <w:rFonts w:hint="default" w:ascii="楷体" w:hAnsi="楷体" w:eastAsia="楷体"/>
                <w:color w:val="auto"/>
                <w:position w:val="0"/>
                <w:sz w:val="21"/>
                <w:szCs w:val="21"/>
              </w:rPr>
              <w:t>基本情况</w:t>
            </w:r>
          </w:p>
        </w:tc>
        <w:tc>
          <w:tcPr>
            <w:tcW w:w="1168" w:type="dxa"/>
            <w:vAlign w:val="center"/>
          </w:tcPr>
          <w:p>
            <w:pPr>
              <w:numPr>
                <w:ilvl w:val="0"/>
                <w:numId w:val="0"/>
              </w:numPr>
              <w:autoSpaceDE/>
              <w:autoSpaceDN/>
              <w:spacing w:before="0" w:after="0" w:line="240" w:lineRule="auto"/>
              <w:ind w:right="0" w:firstLine="0"/>
              <w:jc w:val="center"/>
              <w:rPr>
                <w:rFonts w:hint="default" w:ascii="楷体" w:hAnsi="楷体" w:eastAsia="楷体"/>
                <w:color w:val="auto"/>
                <w:position w:val="0"/>
                <w:sz w:val="21"/>
                <w:szCs w:val="21"/>
              </w:rPr>
            </w:pPr>
            <w:r>
              <w:rPr>
                <w:rFonts w:hint="default" w:ascii="楷体" w:hAnsi="楷体" w:eastAsia="楷体"/>
                <w:color w:val="auto"/>
                <w:position w:val="0"/>
                <w:sz w:val="21"/>
                <w:szCs w:val="21"/>
              </w:rPr>
              <w:t>单位名称（盖章）</w:t>
            </w:r>
          </w:p>
        </w:tc>
        <w:tc>
          <w:tcPr>
            <w:tcW w:w="7659" w:type="dxa"/>
            <w:gridSpan w:val="9"/>
            <w:vAlign w:val="top"/>
          </w:tcPr>
          <w:p>
            <w:pPr>
              <w:numPr>
                <w:ilvl w:val="0"/>
                <w:numId w:val="0"/>
              </w:numPr>
              <w:autoSpaceDE/>
              <w:autoSpaceDN/>
              <w:spacing w:before="0" w:after="0" w:line="540" w:lineRule="exact"/>
              <w:ind w:right="0" w:firstLine="0"/>
              <w:jc w:val="left"/>
              <w:rPr>
                <w:rFonts w:hint="default" w:ascii="楷体" w:hAnsi="楷体" w:eastAsia="楷体"/>
                <w:color w:val="auto"/>
                <w:position w:val="0"/>
                <w:sz w:val="21"/>
                <w:szCs w:val="21"/>
              </w:rPr>
            </w:pPr>
            <w:r>
              <w:rPr>
                <w:rFonts w:hint="default" w:ascii="楷体" w:hAnsi="楷体" w:eastAsia="楷体"/>
                <w:color w:val="auto"/>
                <w:position w:val="0"/>
                <w:sz w:val="21"/>
                <w:szCs w:val="21"/>
              </w:rPr>
              <w:t>隆回县司法局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466" w:hRule="exact"/>
        </w:trPr>
        <w:tc>
          <w:tcPr>
            <w:tcW w:w="533" w:type="dxa"/>
            <w:vMerge w:val="continue"/>
            <w:vAlign w:val="center"/>
          </w:tcPr>
          <w:p/>
        </w:tc>
        <w:tc>
          <w:tcPr>
            <w:tcW w:w="1168" w:type="dxa"/>
            <w:vAlign w:val="center"/>
          </w:tcPr>
          <w:p>
            <w:pPr>
              <w:numPr>
                <w:ilvl w:val="0"/>
                <w:numId w:val="0"/>
              </w:numPr>
              <w:autoSpaceDE/>
              <w:autoSpaceDN/>
              <w:spacing w:before="0" w:after="0" w:line="240" w:lineRule="auto"/>
              <w:ind w:right="0" w:firstLine="0"/>
              <w:jc w:val="center"/>
              <w:rPr>
                <w:rFonts w:hint="default" w:ascii="楷体" w:hAnsi="楷体" w:eastAsia="楷体"/>
                <w:color w:val="auto"/>
                <w:position w:val="0"/>
                <w:sz w:val="21"/>
                <w:szCs w:val="21"/>
              </w:rPr>
            </w:pPr>
            <w:r>
              <w:rPr>
                <w:rFonts w:hint="default" w:ascii="楷体" w:hAnsi="楷体" w:eastAsia="楷体"/>
                <w:color w:val="auto"/>
                <w:position w:val="0"/>
                <w:sz w:val="21"/>
                <w:szCs w:val="21"/>
              </w:rPr>
              <w:t>编制人数</w:t>
            </w:r>
          </w:p>
        </w:tc>
        <w:tc>
          <w:tcPr>
            <w:tcW w:w="2977"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113</w:t>
            </w:r>
          </w:p>
        </w:tc>
        <w:tc>
          <w:tcPr>
            <w:tcW w:w="1559" w:type="dxa"/>
            <w:gridSpan w:val="2"/>
            <w:vAlign w:val="center"/>
          </w:tcPr>
          <w:p>
            <w:pPr>
              <w:numPr>
                <w:ilvl w:val="0"/>
                <w:numId w:val="0"/>
              </w:numPr>
              <w:autoSpaceDE/>
              <w:autoSpaceDN/>
              <w:spacing w:before="0" w:after="0" w:line="240" w:lineRule="auto"/>
              <w:ind w:left="0" w:leftChars="0" w:right="0" w:rightChars="0" w:firstLine="0" w:firstLineChars="0"/>
              <w:jc w:val="center"/>
              <w:rPr>
                <w:rFonts w:hint="default" w:ascii="楷体" w:hAnsi="楷体" w:eastAsia="楷体"/>
                <w:color w:val="auto"/>
                <w:position w:val="0"/>
                <w:sz w:val="21"/>
                <w:szCs w:val="21"/>
              </w:rPr>
            </w:pPr>
            <w:r>
              <w:rPr>
                <w:rFonts w:hint="default" w:ascii="楷体" w:hAnsi="楷体" w:eastAsia="楷体"/>
                <w:color w:val="auto"/>
                <w:position w:val="0"/>
                <w:sz w:val="21"/>
                <w:szCs w:val="21"/>
              </w:rPr>
              <w:t>实有人数</w:t>
            </w:r>
          </w:p>
        </w:tc>
        <w:tc>
          <w:tcPr>
            <w:tcW w:w="3123" w:type="dxa"/>
            <w:gridSpan w:val="5"/>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3454" w:hRule="exact"/>
        </w:trPr>
        <w:tc>
          <w:tcPr>
            <w:tcW w:w="533" w:type="dxa"/>
            <w:vMerge w:val="continue"/>
            <w:vAlign w:val="center"/>
          </w:tcPr>
          <w:p/>
        </w:tc>
        <w:tc>
          <w:tcPr>
            <w:tcW w:w="1168" w:type="dxa"/>
            <w:vAlign w:val="center"/>
          </w:tcPr>
          <w:p>
            <w:pPr>
              <w:numPr>
                <w:ilvl w:val="0"/>
                <w:numId w:val="0"/>
              </w:numPr>
              <w:autoSpaceDE/>
              <w:autoSpaceDN/>
              <w:spacing w:before="0" w:after="0" w:line="240" w:lineRule="auto"/>
              <w:ind w:right="0" w:firstLine="0"/>
              <w:jc w:val="center"/>
              <w:rPr>
                <w:rFonts w:hint="default" w:ascii="楷体" w:hAnsi="楷体" w:eastAsia="楷体"/>
                <w:color w:val="auto"/>
                <w:position w:val="0"/>
                <w:sz w:val="21"/>
                <w:szCs w:val="21"/>
              </w:rPr>
            </w:pPr>
            <w:r>
              <w:rPr>
                <w:rFonts w:hint="default" w:ascii="楷体" w:hAnsi="楷体" w:eastAsia="楷体"/>
                <w:color w:val="auto"/>
                <w:position w:val="0"/>
                <w:sz w:val="21"/>
                <w:szCs w:val="21"/>
              </w:rPr>
              <w:t>部门职能概述</w:t>
            </w:r>
          </w:p>
        </w:tc>
        <w:tc>
          <w:tcPr>
            <w:tcW w:w="7659" w:type="dxa"/>
            <w:gridSpan w:val="9"/>
            <w:vAlign w:val="top"/>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420"/>
              <w:jc w:val="both"/>
              <w:textAlignment w:val="auto"/>
              <w:outlineLvl w:val="9"/>
              <w:rPr>
                <w:rFonts w:hint="eastAsia" w:asciiTheme="minorEastAsia" w:hAnsiTheme="minorEastAsia" w:eastAsiaTheme="minorEastAsia" w:cstheme="minorEastAsia"/>
                <w:color w:val="auto"/>
                <w:spacing w:val="45"/>
                <w:position w:val="0"/>
                <w:sz w:val="21"/>
                <w:szCs w:val="21"/>
              </w:rPr>
            </w:pPr>
            <w:r>
              <w:rPr>
                <w:rFonts w:hint="eastAsia" w:asciiTheme="minorEastAsia" w:hAnsiTheme="minorEastAsia" w:eastAsiaTheme="minorEastAsia" w:cstheme="minorEastAsia"/>
                <w:color w:val="333333"/>
                <w:position w:val="0"/>
                <w:sz w:val="21"/>
                <w:szCs w:val="21"/>
              </w:rPr>
              <w:t>隆回县司法局主要工作职责是贯彻执行国家有关司法行政工作的方针、政策、法规，编制全县司法行政工作发展规划和年度计划并监督实施；受县人大和县人民政府的委托，参与有关规范性文件的起草工作，会同有关部门监督检查执行法律、法规和规章情况；制定全县法制宣传教育和依法治理规划并组织实施，指导全县普法依法治理工作；指导和管理全县律师、企业法律顾问和法律援助工作，管理社会法律服务机构；指导监督全县公证工作，并承担相应责任，负责管理公证机构；指导监督基层司法所建设和人民调解、社区矫正、基层法律服务和安置帮教工作，参与社会治安综合治理；负责仲裁登记工作，指导管理全县司法鉴定工作；负责全县司法行政系统计划财务及枪支、弹药、服装和警车管理工作，指导管理司法行政系统队伍建设，党组织建设和思想政治工作；指导管理司法行政系统的教育培训、考核奖励和警务工作，负责管理司法所。加强指导管理全县社区矫正工作和全县公共法律服务工作；承办县人民政府交办的其他事项。</w:t>
            </w:r>
          </w:p>
          <w:p>
            <w:pPr>
              <w:numPr>
                <w:ilvl w:val="0"/>
                <w:numId w:val="0"/>
              </w:numPr>
              <w:autoSpaceDE/>
              <w:autoSpaceDN/>
              <w:spacing w:before="0" w:after="0" w:line="340" w:lineRule="exact"/>
              <w:ind w:right="0" w:firstLine="0"/>
              <w:jc w:val="left"/>
              <w:rPr>
                <w:rFonts w:hint="default" w:ascii="楷体" w:hAnsi="楷体" w:eastAsia="楷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572" w:hRule="exact"/>
        </w:trPr>
        <w:tc>
          <w:tcPr>
            <w:tcW w:w="533" w:type="dxa"/>
            <w:vMerge w:val="continue"/>
            <w:vAlign w:val="center"/>
          </w:tcPr>
          <w:p/>
        </w:tc>
        <w:tc>
          <w:tcPr>
            <w:tcW w:w="1168"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年度收入（万元）</w:t>
            </w:r>
          </w:p>
        </w:tc>
        <w:tc>
          <w:tcPr>
            <w:tcW w:w="23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县财政预算安排</w:t>
            </w:r>
          </w:p>
        </w:tc>
        <w:tc>
          <w:tcPr>
            <w:tcW w:w="1172"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975．81</w:t>
            </w:r>
          </w:p>
        </w:tc>
        <w:tc>
          <w:tcPr>
            <w:tcW w:w="1552"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非税收入</w:t>
            </w:r>
          </w:p>
        </w:tc>
        <w:tc>
          <w:tcPr>
            <w:tcW w:w="1000"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41</w:t>
            </w:r>
          </w:p>
        </w:tc>
        <w:tc>
          <w:tcPr>
            <w:tcW w:w="494"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合计</w:t>
            </w:r>
          </w:p>
        </w:tc>
        <w:tc>
          <w:tcPr>
            <w:tcW w:w="1069"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1273．81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555" w:hRule="exact"/>
        </w:trPr>
        <w:tc>
          <w:tcPr>
            <w:tcW w:w="533" w:type="dxa"/>
            <w:vMerge w:val="continue"/>
            <w:vAlign w:val="center"/>
          </w:tcPr>
          <w:p/>
        </w:tc>
        <w:tc>
          <w:tcPr>
            <w:tcW w:w="1168"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pPr>
          </w:p>
        </w:tc>
        <w:tc>
          <w:tcPr>
            <w:tcW w:w="23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中央省市安排资金</w:t>
            </w:r>
          </w:p>
        </w:tc>
        <w:tc>
          <w:tcPr>
            <w:tcW w:w="1172"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257</w:t>
            </w:r>
          </w:p>
        </w:tc>
        <w:tc>
          <w:tcPr>
            <w:tcW w:w="1552"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其他收入</w:t>
            </w:r>
          </w:p>
        </w:tc>
        <w:tc>
          <w:tcPr>
            <w:tcW w:w="1000"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p>
        </w:tc>
        <w:tc>
          <w:tcPr>
            <w:tcW w:w="49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c>
          <w:tcPr>
            <w:tcW w:w="1069"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560" w:hRule="exact"/>
        </w:trPr>
        <w:tc>
          <w:tcPr>
            <w:tcW w:w="533" w:type="dxa"/>
            <w:vMerge w:val="continue"/>
            <w:vAlign w:val="center"/>
          </w:tcPr>
          <w:p/>
        </w:tc>
        <w:tc>
          <w:tcPr>
            <w:tcW w:w="1168"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年度支出</w:t>
            </w: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（万元）</w:t>
            </w:r>
          </w:p>
        </w:tc>
        <w:tc>
          <w:tcPr>
            <w:tcW w:w="23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基本支出</w:t>
            </w:r>
          </w:p>
        </w:tc>
        <w:tc>
          <w:tcPr>
            <w:tcW w:w="1172"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1038．2</w:t>
            </w:r>
          </w:p>
        </w:tc>
        <w:tc>
          <w:tcPr>
            <w:tcW w:w="1559" w:type="dxa"/>
            <w:gridSpan w:val="3"/>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项目支出</w:t>
            </w:r>
          </w:p>
        </w:tc>
        <w:tc>
          <w:tcPr>
            <w:tcW w:w="993"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406．07</w:t>
            </w:r>
          </w:p>
        </w:tc>
        <w:tc>
          <w:tcPr>
            <w:tcW w:w="494"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合计</w:t>
            </w:r>
          </w:p>
        </w:tc>
        <w:tc>
          <w:tcPr>
            <w:tcW w:w="1069"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left="0" w:leftChars="0" w:right="0" w:rightChars="0" w:firstLine="0" w:firstLineChars="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1444．27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708" w:hRule="exact"/>
        </w:trPr>
        <w:tc>
          <w:tcPr>
            <w:tcW w:w="533" w:type="dxa"/>
            <w:vMerge w:val="continue"/>
            <w:vAlign w:val="center"/>
          </w:tcPr>
          <w:p/>
        </w:tc>
        <w:tc>
          <w:tcPr>
            <w:tcW w:w="1168"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pPr>
          </w:p>
        </w:tc>
        <w:tc>
          <w:tcPr>
            <w:tcW w:w="2372" w:type="dxa"/>
            <w:tcMar>
              <w:left w:w="0" w:type="dxa"/>
              <w:right w:w="0"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其中三公经费支出</w:t>
            </w:r>
          </w:p>
        </w:tc>
        <w:tc>
          <w:tcPr>
            <w:tcW w:w="1172" w:type="dxa"/>
            <w:gridSpan w:val="2"/>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13．5</w:t>
            </w:r>
          </w:p>
        </w:tc>
        <w:tc>
          <w:tcPr>
            <w:tcW w:w="1559" w:type="dxa"/>
            <w:gridSpan w:val="3"/>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pPr>
          </w:p>
        </w:tc>
        <w:tc>
          <w:tcPr>
            <w:tcW w:w="993"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pPr>
          </w:p>
        </w:tc>
        <w:tc>
          <w:tcPr>
            <w:tcW w:w="49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pPr>
          </w:p>
        </w:tc>
        <w:tc>
          <w:tcPr>
            <w:tcW w:w="1069"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outlineLvl w:val="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816" w:hRule="exact"/>
        </w:trPr>
        <w:tc>
          <w:tcPr>
            <w:tcW w:w="533" w:type="dxa"/>
            <w:vMerge w:val="restart"/>
            <w:vAlign w:val="center"/>
          </w:tcPr>
          <w:p>
            <w:pPr>
              <w:numPr>
                <w:ilvl w:val="0"/>
                <w:numId w:val="0"/>
              </w:numPr>
              <w:autoSpaceDE/>
              <w:autoSpaceDN/>
              <w:spacing w:before="0" w:after="0" w:line="560" w:lineRule="exact"/>
              <w:ind w:right="0" w:firstLine="0"/>
              <w:jc w:val="center"/>
              <w:rPr>
                <w:rFonts w:hint="default" w:ascii="楷体" w:hAnsi="楷体" w:eastAsia="楷体"/>
                <w:color w:val="auto"/>
                <w:position w:val="0"/>
                <w:sz w:val="21"/>
                <w:szCs w:val="21"/>
              </w:rPr>
            </w:pPr>
            <w:r>
              <w:rPr>
                <w:rFonts w:hint="default" w:ascii="楷体" w:hAnsi="楷体" w:eastAsia="楷体"/>
                <w:color w:val="auto"/>
                <w:position w:val="0"/>
                <w:sz w:val="21"/>
                <w:szCs w:val="21"/>
              </w:rPr>
              <w:t>实施情况</w:t>
            </w:r>
          </w:p>
        </w:tc>
        <w:tc>
          <w:tcPr>
            <w:tcW w:w="116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财政供养人员控制情况</w:t>
            </w:r>
          </w:p>
        </w:tc>
        <w:tc>
          <w:tcPr>
            <w:tcW w:w="7659" w:type="dxa"/>
            <w:gridSpan w:val="9"/>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both"/>
              <w:textAlignment w:val="auto"/>
              <w:outlineLvl w:val="9"/>
              <w:rPr>
                <w:rFonts w:hint="default" w:ascii="楷体" w:hAnsi="楷体" w:eastAsia="楷体"/>
                <w:color w:val="auto"/>
                <w:position w:val="0"/>
                <w:sz w:val="21"/>
                <w:szCs w:val="21"/>
              </w:rPr>
            </w:pPr>
            <w:r>
              <w:rPr>
                <w:rFonts w:hint="default" w:ascii="楷体" w:hAnsi="楷体" w:eastAsia="楷体"/>
                <w:color w:val="auto"/>
                <w:position w:val="0"/>
                <w:sz w:val="21"/>
                <w:szCs w:val="21"/>
              </w:rPr>
              <w:t>是否存在超编超配人员：   是□     否</w:t>
            </w:r>
            <w:r>
              <w:rPr>
                <w:rFonts w:hint="default" w:ascii="Wingdings" w:hAnsi="宋体" w:eastAsia="宋体"/>
                <w:color w:val="auto"/>
                <w:position w:val="0"/>
                <w:sz w:val="21"/>
                <w:szCs w:val="21"/>
              </w:rPr>
              <w:sym w:font="Wingdings" w:char="00FE"/>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1437" w:hRule="exact"/>
        </w:trPr>
        <w:tc>
          <w:tcPr>
            <w:tcW w:w="533" w:type="dxa"/>
            <w:vMerge w:val="continue"/>
            <w:vAlign w:val="center"/>
          </w:tcPr>
          <w:p/>
        </w:tc>
        <w:tc>
          <w:tcPr>
            <w:tcW w:w="1168" w:type="dxa"/>
            <w:vAlign w:val="center"/>
          </w:tcPr>
          <w:p>
            <w:pPr>
              <w:numPr>
                <w:ilvl w:val="0"/>
                <w:numId w:val="0"/>
              </w:numPr>
              <w:autoSpaceDE/>
              <w:autoSpaceDN/>
              <w:spacing w:before="0" w:after="0" w:line="240" w:lineRule="atLeast"/>
              <w:ind w:right="0" w:firstLine="0"/>
              <w:jc w:val="center"/>
              <w:rPr>
                <w:rFonts w:hint="default" w:ascii="楷体" w:hAnsi="楷体" w:eastAsia="楷体"/>
                <w:color w:val="auto"/>
                <w:position w:val="0"/>
                <w:sz w:val="21"/>
                <w:szCs w:val="21"/>
              </w:rPr>
            </w:pPr>
            <w:r>
              <w:rPr>
                <w:rFonts w:hint="default" w:ascii="楷体" w:hAnsi="楷体" w:eastAsia="楷体"/>
                <w:color w:val="auto"/>
                <w:position w:val="0"/>
                <w:sz w:val="21"/>
                <w:szCs w:val="21"/>
              </w:rPr>
              <w:t>三公经费管理情况</w:t>
            </w:r>
          </w:p>
        </w:tc>
        <w:tc>
          <w:tcPr>
            <w:tcW w:w="7659" w:type="dxa"/>
            <w:gridSpan w:val="9"/>
            <w:vAlign w:val="center"/>
          </w:tcPr>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是否制定“三公”经费管理办法：是</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否□</w:t>
            </w:r>
          </w:p>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招待费用是否明确招待标准和招待人数：是</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否□</w:t>
            </w:r>
          </w:p>
          <w:p>
            <w:pPr>
              <w:numPr>
                <w:ilvl w:val="0"/>
                <w:numId w:val="0"/>
              </w:numPr>
              <w:autoSpaceDE/>
              <w:autoSpaceDN/>
              <w:spacing w:before="0" w:after="0" w:line="240" w:lineRule="auto"/>
              <w:ind w:right="0" w:firstLine="0"/>
              <w:jc w:val="left"/>
              <w:rPr>
                <w:rFonts w:hint="default" w:ascii="楷体" w:hAnsi="楷体" w:eastAsia="楷体"/>
                <w:color w:val="auto"/>
                <w:position w:val="0"/>
                <w:sz w:val="21"/>
                <w:szCs w:val="21"/>
              </w:rPr>
            </w:pPr>
            <w:r>
              <w:rPr>
                <w:rFonts w:hint="default" w:ascii="楷体" w:hAnsi="楷体" w:eastAsia="楷体"/>
                <w:color w:val="auto"/>
                <w:position w:val="0"/>
                <w:sz w:val="21"/>
                <w:szCs w:val="21"/>
              </w:rPr>
              <w:t>公务用车购置运行费是否比上年度下降: 是</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否□</w:t>
            </w:r>
          </w:p>
          <w:p>
            <w:pPr>
              <w:numPr>
                <w:ilvl w:val="0"/>
                <w:numId w:val="0"/>
              </w:numPr>
              <w:autoSpaceDE/>
              <w:autoSpaceDN/>
              <w:spacing w:before="0" w:after="0" w:line="240" w:lineRule="auto"/>
              <w:ind w:right="0" w:firstLine="0"/>
              <w:jc w:val="left"/>
              <w:rPr>
                <w:rFonts w:hint="default" w:ascii="楷体" w:hAnsi="楷体" w:eastAsia="楷体"/>
                <w:color w:val="auto"/>
                <w:position w:val="0"/>
                <w:sz w:val="21"/>
                <w:szCs w:val="21"/>
              </w:rPr>
            </w:pPr>
            <w:r>
              <w:rPr>
                <w:rFonts w:hint="default" w:ascii="楷体" w:hAnsi="楷体" w:eastAsia="楷体"/>
                <w:color w:val="auto"/>
                <w:position w:val="0"/>
                <w:sz w:val="21"/>
                <w:szCs w:val="21"/>
              </w:rPr>
              <w:t>三公经费是否比年度下降：是</w:t>
            </w:r>
            <w:r>
              <w:rPr>
                <w:rFonts w:hint="default" w:ascii="Wingdings" w:hAnsi="宋体" w:eastAsia="宋体"/>
                <w:color w:val="auto"/>
                <w:position w:val="0"/>
                <w:sz w:val="21"/>
                <w:szCs w:val="21"/>
              </w:rPr>
              <w:sym w:font="Wingdings" w:char="00FE"/>
            </w:r>
            <w:r>
              <w:rPr>
                <w:rFonts w:hint="default" w:ascii="楷体" w:hAnsi="宋体" w:eastAsia="宋体"/>
                <w:color w:val="auto"/>
                <w:position w:val="0"/>
                <w:sz w:val="21"/>
                <w:szCs w:val="21"/>
              </w:rPr>
              <w:t xml:space="preserve">  </w:t>
            </w:r>
            <w:r>
              <w:rPr>
                <w:rFonts w:hint="default" w:ascii="楷体" w:hAnsi="楷体" w:eastAsia="楷体"/>
                <w:color w:val="auto"/>
                <w:position w:val="0"/>
                <w:sz w:val="21"/>
                <w:szCs w:val="21"/>
              </w:rPr>
              <w:t xml:space="preserve">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1125" w:hRule="exact"/>
        </w:trPr>
        <w:tc>
          <w:tcPr>
            <w:tcW w:w="533" w:type="dxa"/>
            <w:vMerge w:val="continue"/>
            <w:vAlign w:val="center"/>
          </w:tcPr>
          <w:p/>
        </w:tc>
        <w:tc>
          <w:tcPr>
            <w:tcW w:w="1168" w:type="dxa"/>
            <w:vAlign w:val="center"/>
          </w:tcPr>
          <w:p>
            <w:pPr>
              <w:numPr>
                <w:ilvl w:val="0"/>
                <w:numId w:val="0"/>
              </w:numPr>
              <w:autoSpaceDE/>
              <w:autoSpaceDN/>
              <w:spacing w:before="0" w:after="0" w:line="240" w:lineRule="atLeast"/>
              <w:ind w:right="0" w:firstLine="0"/>
              <w:jc w:val="center"/>
              <w:rPr>
                <w:rFonts w:hint="default" w:ascii="楷体" w:hAnsi="楷体" w:eastAsia="楷体"/>
                <w:color w:val="auto"/>
                <w:position w:val="0"/>
                <w:sz w:val="21"/>
                <w:szCs w:val="21"/>
              </w:rPr>
            </w:pPr>
            <w:r>
              <w:rPr>
                <w:rFonts w:hint="default" w:ascii="楷体" w:hAnsi="楷体" w:eastAsia="楷体"/>
                <w:color w:val="auto"/>
                <w:position w:val="0"/>
                <w:sz w:val="21"/>
                <w:szCs w:val="21"/>
              </w:rPr>
              <w:t>非税收入完成情况</w:t>
            </w:r>
          </w:p>
        </w:tc>
        <w:tc>
          <w:tcPr>
            <w:tcW w:w="7659" w:type="dxa"/>
            <w:gridSpan w:val="9"/>
            <w:vAlign w:val="center"/>
          </w:tcPr>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年度非税收入是否完成: 是</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否□</w:t>
            </w:r>
          </w:p>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是否实行收支两条线管理：是</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否□</w:t>
            </w:r>
          </w:p>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有无截留、坐支、转移等现象:有□     无</w:t>
            </w:r>
            <w:r>
              <w:rPr>
                <w:rFonts w:hint="default" w:ascii="Wingdings" w:hAnsi="宋体" w:eastAsia="宋体"/>
                <w:color w:val="auto"/>
                <w:position w:val="0"/>
                <w:sz w:val="21"/>
                <w:szCs w:val="21"/>
              </w:rPr>
              <w:sym w:font="Wingdings" w:char="00FE"/>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814" w:hRule="exact"/>
        </w:trPr>
        <w:tc>
          <w:tcPr>
            <w:tcW w:w="533" w:type="dxa"/>
            <w:vMerge w:val="continue"/>
            <w:vAlign w:val="center"/>
          </w:tcPr>
          <w:p/>
        </w:tc>
        <w:tc>
          <w:tcPr>
            <w:tcW w:w="1168" w:type="dxa"/>
            <w:vAlign w:val="center"/>
          </w:tcPr>
          <w:p>
            <w:pPr>
              <w:numPr>
                <w:ilvl w:val="0"/>
                <w:numId w:val="0"/>
              </w:numPr>
              <w:autoSpaceDE/>
              <w:autoSpaceDN/>
              <w:spacing w:before="0" w:after="0" w:line="360" w:lineRule="exact"/>
              <w:ind w:right="0" w:firstLine="0"/>
              <w:jc w:val="center"/>
              <w:rPr>
                <w:rFonts w:hint="default" w:ascii="楷体" w:hAnsi="楷体" w:eastAsia="楷体"/>
                <w:color w:val="auto"/>
                <w:position w:val="0"/>
                <w:sz w:val="21"/>
                <w:szCs w:val="21"/>
              </w:rPr>
            </w:pPr>
            <w:r>
              <w:rPr>
                <w:rFonts w:hint="default" w:ascii="楷体" w:hAnsi="楷体" w:eastAsia="楷体"/>
                <w:color w:val="auto"/>
                <w:position w:val="0"/>
                <w:sz w:val="21"/>
                <w:szCs w:val="21"/>
              </w:rPr>
              <w:t>政府采购及金额</w:t>
            </w:r>
          </w:p>
        </w:tc>
        <w:tc>
          <w:tcPr>
            <w:tcW w:w="7659" w:type="dxa"/>
            <w:gridSpan w:val="9"/>
            <w:vAlign w:val="center"/>
          </w:tcPr>
          <w:p>
            <w:pPr>
              <w:numPr>
                <w:ilvl w:val="0"/>
                <w:numId w:val="0"/>
              </w:numPr>
              <w:autoSpaceDE/>
              <w:autoSpaceDN/>
              <w:spacing w:before="0" w:after="0" w:line="360" w:lineRule="exact"/>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年度是否制定了政府采购计划：是</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□否</w:t>
            </w:r>
          </w:p>
          <w:p>
            <w:pPr>
              <w:numPr>
                <w:ilvl w:val="0"/>
                <w:numId w:val="0"/>
              </w:numPr>
              <w:autoSpaceDE/>
              <w:autoSpaceDN/>
              <w:spacing w:before="0" w:after="0" w:line="360" w:lineRule="exact"/>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应采购金额225万元，实际采购金额187.95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827" w:hRule="exact"/>
        </w:trPr>
        <w:tc>
          <w:tcPr>
            <w:tcW w:w="533" w:type="dxa"/>
            <w:vMerge w:val="continue"/>
            <w:vAlign w:val="center"/>
          </w:tcPr>
          <w:p/>
        </w:tc>
        <w:tc>
          <w:tcPr>
            <w:tcW w:w="1168" w:type="dxa"/>
            <w:vAlign w:val="center"/>
          </w:tcPr>
          <w:p>
            <w:pPr>
              <w:numPr>
                <w:ilvl w:val="0"/>
                <w:numId w:val="0"/>
              </w:numPr>
              <w:autoSpaceDE/>
              <w:autoSpaceDN/>
              <w:spacing w:before="0" w:after="0" w:line="360" w:lineRule="exact"/>
              <w:ind w:right="0" w:firstLine="0"/>
              <w:jc w:val="center"/>
              <w:rPr>
                <w:rFonts w:hint="default" w:ascii="楷体" w:hAnsi="楷体" w:eastAsia="楷体"/>
                <w:color w:val="auto"/>
                <w:position w:val="0"/>
                <w:sz w:val="21"/>
                <w:szCs w:val="21"/>
              </w:rPr>
            </w:pPr>
            <w:r>
              <w:rPr>
                <w:rFonts w:hint="default" w:ascii="楷体" w:hAnsi="楷体" w:eastAsia="楷体"/>
                <w:color w:val="auto"/>
                <w:position w:val="0"/>
                <w:sz w:val="21"/>
                <w:szCs w:val="21"/>
              </w:rPr>
              <w:t>预算执行</w:t>
            </w:r>
          </w:p>
        </w:tc>
        <w:tc>
          <w:tcPr>
            <w:tcW w:w="7659" w:type="dxa"/>
            <w:gridSpan w:val="9"/>
            <w:vAlign w:val="center"/>
          </w:tcPr>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本年度是否追加了预算:是</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否□, 追加金额 4.2 万元</w:t>
            </w:r>
          </w:p>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本年度是否有结余: 是</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否□,结余金额378.71  万元</w:t>
            </w:r>
          </w:p>
          <w:p>
            <w:pPr>
              <w:numPr>
                <w:ilvl w:val="0"/>
                <w:numId w:val="0"/>
              </w:numPr>
              <w:autoSpaceDE/>
              <w:autoSpaceDN/>
              <w:spacing w:before="0" w:after="0" w:line="240" w:lineRule="auto"/>
              <w:ind w:right="0" w:firstLine="0"/>
              <w:jc w:val="left"/>
              <w:rPr>
                <w:rFonts w:hint="default" w:ascii="楷体" w:hAnsi="楷体" w:eastAsia="楷体"/>
                <w:color w:val="auto"/>
                <w:position w:val="0"/>
                <w:sz w:val="21"/>
                <w:szCs w:val="21"/>
              </w:rPr>
            </w:pPr>
            <w:r>
              <w:rPr>
                <w:rFonts w:hint="default" w:ascii="楷体" w:hAnsi="楷体" w:eastAsia="楷体"/>
                <w:color w:val="auto"/>
                <w:position w:val="0"/>
                <w:sz w:val="21"/>
                <w:szCs w:val="21"/>
              </w:rPr>
              <w:t>预决算信息是否公开: 是</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否□</w:t>
            </w:r>
          </w:p>
          <w:p>
            <w:pPr>
              <w:numPr>
                <w:ilvl w:val="0"/>
                <w:numId w:val="0"/>
              </w:numPr>
              <w:autoSpaceDE/>
              <w:autoSpaceDN/>
              <w:spacing w:before="0" w:after="0" w:line="240" w:lineRule="auto"/>
              <w:ind w:right="0" w:firstLine="0"/>
              <w:jc w:val="left"/>
              <w:rPr>
                <w:rFonts w:hint="default" w:ascii="楷体" w:hAnsi="楷体" w:eastAsia="楷体"/>
                <w:color w:val="auto"/>
                <w:position w:val="0"/>
                <w:sz w:val="21"/>
                <w:szCs w:val="21"/>
              </w:rPr>
            </w:pPr>
            <w:r>
              <w:rPr>
                <w:rFonts w:hint="default" w:ascii="楷体" w:hAnsi="楷体" w:eastAsia="楷体"/>
                <w:color w:val="auto"/>
                <w:position w:val="0"/>
                <w:sz w:val="21"/>
                <w:szCs w:val="21"/>
              </w:rPr>
              <w:t>公开时间: 2017 年  4 月 26 日</w:t>
            </w:r>
          </w:p>
          <w:p>
            <w:pPr>
              <w:numPr>
                <w:ilvl w:val="0"/>
                <w:numId w:val="0"/>
              </w:numPr>
              <w:autoSpaceDE/>
              <w:autoSpaceDN/>
              <w:spacing w:before="0" w:after="0" w:line="240" w:lineRule="auto"/>
              <w:ind w:right="0" w:firstLine="0"/>
              <w:jc w:val="left"/>
              <w:rPr>
                <w:rFonts w:hint="default" w:ascii="楷体" w:hAnsi="楷体" w:eastAsia="楷体"/>
                <w:color w:val="auto"/>
                <w:position w:val="0"/>
                <w:sz w:val="21"/>
                <w:szCs w:val="21"/>
              </w:rPr>
            </w:pPr>
            <w:r>
              <w:rPr>
                <w:rFonts w:hint="default" w:ascii="楷体" w:hAnsi="楷体" w:eastAsia="楷体"/>
                <w:color w:val="auto"/>
                <w:position w:val="0"/>
                <w:sz w:val="21"/>
                <w:szCs w:val="21"/>
              </w:rPr>
              <w:t>公开方式:门户网站</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单位内部□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1068" w:hRule="exact"/>
        </w:trPr>
        <w:tc>
          <w:tcPr>
            <w:tcW w:w="533" w:type="dxa"/>
            <w:vMerge w:val="continue"/>
            <w:vAlign w:val="center"/>
          </w:tcPr>
          <w:p/>
        </w:tc>
        <w:tc>
          <w:tcPr>
            <w:tcW w:w="1168" w:type="dxa"/>
            <w:vAlign w:val="center"/>
          </w:tcPr>
          <w:p>
            <w:pPr>
              <w:numPr>
                <w:ilvl w:val="0"/>
                <w:numId w:val="0"/>
              </w:numPr>
              <w:autoSpaceDE/>
              <w:autoSpaceDN/>
              <w:spacing w:before="0" w:after="0" w:line="240" w:lineRule="atLeast"/>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财务管理</w:t>
            </w:r>
          </w:p>
        </w:tc>
        <w:tc>
          <w:tcPr>
            <w:tcW w:w="7659" w:type="dxa"/>
            <w:gridSpan w:val="9"/>
            <w:vAlign w:val="center"/>
          </w:tcPr>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是否制定财务管理、会计核算等制度: 是</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否□</w:t>
            </w:r>
          </w:p>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会计机构是否按规定设置: 是</w:t>
            </w:r>
            <w:r>
              <w:rPr>
                <w:rFonts w:hint="default" w:ascii="Wingdings" w:hAnsi="宋体" w:eastAsia="宋体"/>
                <w:color w:val="auto"/>
                <w:position w:val="0"/>
                <w:sz w:val="21"/>
                <w:szCs w:val="21"/>
              </w:rPr>
              <w:sym w:font="Wingdings" w:char="00FE"/>
            </w:r>
            <w:r>
              <w:rPr>
                <w:rFonts w:hint="eastAsia" w:ascii="Wingdings" w:hAnsi="宋体"/>
                <w:color w:val="auto"/>
                <w:position w:val="0"/>
                <w:sz w:val="21"/>
                <w:szCs w:val="21"/>
                <w:lang w:val="en-US" w:eastAsia="zh-CN"/>
              </w:rPr>
              <w:t xml:space="preserve"> </w:t>
            </w:r>
            <w:r>
              <w:rPr>
                <w:rFonts w:hint="default" w:ascii="楷体" w:hAnsi="宋体" w:eastAsia="宋体"/>
                <w:color w:val="auto"/>
                <w:position w:val="0"/>
                <w:sz w:val="21"/>
                <w:szCs w:val="21"/>
              </w:rPr>
              <w:t xml:space="preserve"> </w:t>
            </w:r>
            <w:r>
              <w:rPr>
                <w:rFonts w:hint="default" w:ascii="楷体" w:hAnsi="楷体" w:eastAsia="楷体"/>
                <w:color w:val="auto"/>
                <w:position w:val="0"/>
                <w:sz w:val="21"/>
                <w:szCs w:val="21"/>
              </w:rPr>
              <w:t>否□</w:t>
            </w:r>
          </w:p>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会计人员是否持证上岗: 是</w:t>
            </w:r>
            <w:r>
              <w:rPr>
                <w:rFonts w:hint="default" w:ascii="Wingdings" w:hAnsi="宋体" w:eastAsia="宋体"/>
                <w:color w:val="auto"/>
                <w:position w:val="0"/>
                <w:sz w:val="21"/>
                <w:szCs w:val="21"/>
              </w:rPr>
              <w:sym w:font="Wingdings" w:char="00FE"/>
            </w:r>
            <w:r>
              <w:rPr>
                <w:rFonts w:hint="default" w:ascii="Arial" w:hAnsi="宋体" w:eastAsia="宋体"/>
                <w:color w:val="auto"/>
                <w:position w:val="0"/>
                <w:sz w:val="21"/>
                <w:szCs w:val="21"/>
              </w:rPr>
              <w:t xml:space="preserve"> </w:t>
            </w:r>
            <w:r>
              <w:rPr>
                <w:rFonts w:hint="eastAsia" w:ascii="Arial" w:hAnsi="宋体"/>
                <w:color w:val="auto"/>
                <w:position w:val="0"/>
                <w:sz w:val="21"/>
                <w:szCs w:val="21"/>
                <w:lang w:val="en-US" w:eastAsia="zh-CN"/>
              </w:rPr>
              <w:t xml:space="preserve"> </w:t>
            </w:r>
            <w:r>
              <w:rPr>
                <w:rFonts w:hint="default" w:ascii="楷体" w:hAnsi="楷体" w:eastAsia="楷体"/>
                <w:color w:val="auto"/>
                <w:positio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1049" w:hRule="exact"/>
        </w:trPr>
        <w:tc>
          <w:tcPr>
            <w:tcW w:w="533" w:type="dxa"/>
            <w:vMerge w:val="continue"/>
            <w:vAlign w:val="center"/>
          </w:tcPr>
          <w:p/>
        </w:tc>
        <w:tc>
          <w:tcPr>
            <w:tcW w:w="1168" w:type="dxa"/>
            <w:vAlign w:val="center"/>
          </w:tcPr>
          <w:p>
            <w:pPr>
              <w:numPr>
                <w:ilvl w:val="0"/>
                <w:numId w:val="0"/>
              </w:numPr>
              <w:autoSpaceDE/>
              <w:autoSpaceDN/>
              <w:spacing w:before="0" w:after="0" w:line="400" w:lineRule="exact"/>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资金管理</w:t>
            </w:r>
          </w:p>
        </w:tc>
        <w:tc>
          <w:tcPr>
            <w:tcW w:w="7659" w:type="dxa"/>
            <w:gridSpan w:val="9"/>
            <w:vAlign w:val="center"/>
          </w:tcPr>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是否制定资金管理办法: 是</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否□</w:t>
            </w:r>
          </w:p>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资金拨付有完整的审批程序: 有</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无□</w:t>
            </w:r>
          </w:p>
          <w:p>
            <w:pPr>
              <w:numPr>
                <w:ilvl w:val="0"/>
                <w:numId w:val="0"/>
              </w:numPr>
              <w:autoSpaceDE/>
              <w:autoSpaceDN/>
              <w:spacing w:before="0" w:after="0" w:line="240" w:lineRule="auto"/>
              <w:ind w:left="3885" w:right="0" w:hanging="3885"/>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资金使用是否存在违规使用资金、乱发津补贴奖金现象：是□  否</w:t>
            </w:r>
            <w:r>
              <w:rPr>
                <w:rFonts w:hint="default" w:ascii="Wingdings" w:hAnsi="宋体" w:eastAsia="宋体"/>
                <w:color w:val="auto"/>
                <w:position w:val="0"/>
                <w:sz w:val="21"/>
                <w:szCs w:val="21"/>
              </w:rPr>
              <w:sym w:font="Wingdings" w:char="00FE"/>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1397" w:hRule="exact"/>
        </w:trPr>
        <w:tc>
          <w:tcPr>
            <w:tcW w:w="533" w:type="dxa"/>
            <w:vMerge w:val="continue"/>
            <w:vAlign w:val="center"/>
          </w:tcPr>
          <w:p/>
        </w:tc>
        <w:tc>
          <w:tcPr>
            <w:tcW w:w="1168" w:type="dxa"/>
            <w:vAlign w:val="center"/>
          </w:tcPr>
          <w:p>
            <w:pPr>
              <w:numPr>
                <w:ilvl w:val="0"/>
                <w:numId w:val="0"/>
              </w:numPr>
              <w:autoSpaceDE/>
              <w:autoSpaceDN/>
              <w:spacing w:before="0" w:after="0" w:line="240" w:lineRule="atLeast"/>
              <w:ind w:right="0" w:firstLine="0"/>
              <w:jc w:val="center"/>
              <w:rPr>
                <w:rFonts w:hint="default" w:ascii="楷体" w:hAnsi="楷体" w:eastAsia="楷体"/>
                <w:color w:val="auto"/>
                <w:position w:val="0"/>
                <w:sz w:val="21"/>
                <w:szCs w:val="21"/>
              </w:rPr>
            </w:pPr>
            <w:r>
              <w:rPr>
                <w:rFonts w:hint="default" w:ascii="楷体" w:hAnsi="楷体" w:eastAsia="楷体"/>
                <w:color w:val="auto"/>
                <w:position w:val="0"/>
                <w:sz w:val="21"/>
                <w:szCs w:val="21"/>
              </w:rPr>
              <w:t>资产管理</w:t>
            </w:r>
          </w:p>
        </w:tc>
        <w:tc>
          <w:tcPr>
            <w:tcW w:w="7659" w:type="dxa"/>
            <w:gridSpan w:val="9"/>
            <w:vAlign w:val="center"/>
          </w:tcPr>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是否制定资产管理制度: 是</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否□</w:t>
            </w:r>
          </w:p>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资产管理、保存、处置是否合理规范: 是</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否□</w:t>
            </w:r>
          </w:p>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资产是否产权清晰、两证齐全：是</w:t>
            </w:r>
            <w:r>
              <w:rPr>
                <w:rFonts w:hint="default" w:ascii="Wingdings" w:hAnsi="宋体" w:eastAsia="宋体"/>
                <w:color w:val="auto"/>
                <w:position w:val="0"/>
                <w:sz w:val="21"/>
                <w:szCs w:val="21"/>
              </w:rPr>
              <w:sym w:font="Wingdings" w:char="00FE"/>
            </w:r>
            <w:r>
              <w:rPr>
                <w:rFonts w:hint="default" w:ascii="楷体" w:hAnsi="楷体" w:eastAsia="楷体"/>
                <w:color w:val="auto"/>
                <w:position w:val="0"/>
                <w:sz w:val="21"/>
                <w:szCs w:val="21"/>
              </w:rPr>
              <w:t xml:space="preserve">  否□</w:t>
            </w:r>
          </w:p>
          <w:p>
            <w:pPr>
              <w:numPr>
                <w:ilvl w:val="0"/>
                <w:numId w:val="0"/>
              </w:numPr>
              <w:autoSpaceDE/>
              <w:autoSpaceDN/>
              <w:spacing w:before="0" w:after="0" w:line="240" w:lineRule="auto"/>
              <w:ind w:right="0" w:firstLine="0"/>
              <w:jc w:val="both"/>
              <w:rPr>
                <w:rFonts w:hint="default" w:ascii="楷体" w:hAnsi="楷体" w:eastAsia="楷体"/>
                <w:color w:val="auto"/>
                <w:position w:val="0"/>
                <w:sz w:val="21"/>
                <w:szCs w:val="21"/>
              </w:rPr>
            </w:pPr>
            <w:r>
              <w:rPr>
                <w:rFonts w:hint="default" w:ascii="楷体" w:hAnsi="楷体" w:eastAsia="楷体"/>
                <w:color w:val="auto"/>
                <w:position w:val="0"/>
                <w:sz w:val="21"/>
                <w:szCs w:val="21"/>
              </w:rPr>
              <w:t>账、表、实、卡是否相符: 是</w:t>
            </w:r>
            <w:r>
              <w:rPr>
                <w:rFonts w:hint="default" w:ascii="Wingdings" w:hAnsi="宋体" w:eastAsia="宋体"/>
                <w:color w:val="auto"/>
                <w:position w:val="0"/>
                <w:sz w:val="21"/>
                <w:szCs w:val="21"/>
              </w:rPr>
              <w:sym w:font="Wingdings" w:char="00FE"/>
            </w:r>
            <w:r>
              <w:rPr>
                <w:rFonts w:hint="default" w:ascii="楷体" w:hAnsi="宋体" w:eastAsia="宋体"/>
                <w:color w:val="auto"/>
                <w:position w:val="0"/>
                <w:sz w:val="21"/>
                <w:szCs w:val="21"/>
              </w:rPr>
              <w:t xml:space="preserve">  </w:t>
            </w:r>
            <w:r>
              <w:rPr>
                <w:rFonts w:hint="default" w:ascii="楷体" w:hAnsi="楷体" w:eastAsia="楷体"/>
                <w:color w:val="auto"/>
                <w:position w:val="0"/>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cantSplit/>
          <w:trHeight w:val="541" w:hRule="exact"/>
        </w:trPr>
        <w:tc>
          <w:tcPr>
            <w:tcW w:w="533" w:type="dxa"/>
            <w:vMerge w:val="continue"/>
            <w:vAlign w:val="center"/>
          </w:tcPr>
          <w:p/>
        </w:tc>
        <w:tc>
          <w:tcPr>
            <w:tcW w:w="1168" w:type="dxa"/>
            <w:vAlign w:val="center"/>
          </w:tcPr>
          <w:p>
            <w:pPr>
              <w:numPr>
                <w:ilvl w:val="0"/>
                <w:numId w:val="0"/>
              </w:numPr>
              <w:autoSpaceDE/>
              <w:autoSpaceDN/>
              <w:spacing w:before="0" w:after="0" w:line="360" w:lineRule="exact"/>
              <w:ind w:right="0" w:firstLine="0"/>
              <w:jc w:val="center"/>
              <w:rPr>
                <w:rFonts w:hint="default" w:ascii="楷体" w:hAnsi="楷体" w:eastAsia="楷体"/>
                <w:color w:val="auto"/>
                <w:position w:val="0"/>
                <w:sz w:val="21"/>
                <w:szCs w:val="21"/>
              </w:rPr>
            </w:pPr>
            <w:r>
              <w:rPr>
                <w:rFonts w:hint="default" w:ascii="楷体" w:hAnsi="楷体" w:eastAsia="楷体"/>
                <w:color w:val="auto"/>
                <w:position w:val="0"/>
                <w:sz w:val="21"/>
                <w:szCs w:val="21"/>
              </w:rPr>
              <w:t>职责履行</w:t>
            </w:r>
          </w:p>
        </w:tc>
        <w:tc>
          <w:tcPr>
            <w:tcW w:w="7659" w:type="dxa"/>
            <w:gridSpan w:val="9"/>
            <w:vAlign w:val="top"/>
          </w:tcPr>
          <w:p>
            <w:pPr>
              <w:numPr>
                <w:ilvl w:val="0"/>
                <w:numId w:val="0"/>
              </w:numPr>
              <w:autoSpaceDE/>
              <w:autoSpaceDN/>
              <w:spacing w:before="0" w:after="0" w:line="560" w:lineRule="exact"/>
              <w:ind w:right="0" w:firstLine="0"/>
              <w:jc w:val="left"/>
              <w:rPr>
                <w:rFonts w:hint="default" w:ascii="楷体" w:hAnsi="楷体" w:eastAsia="楷体"/>
                <w:color w:val="auto"/>
                <w:position w:val="0"/>
                <w:sz w:val="21"/>
                <w:szCs w:val="21"/>
              </w:rPr>
            </w:pPr>
            <w:r>
              <w:rPr>
                <w:rFonts w:hint="default" w:ascii="楷体" w:hAnsi="楷体" w:eastAsia="楷体"/>
                <w:color w:val="auto"/>
                <w:position w:val="0"/>
                <w:sz w:val="21"/>
                <w:szCs w:val="21"/>
              </w:rPr>
              <w:t>重点工作是否全部完成且质量达标: 是</w:t>
            </w:r>
            <w:r>
              <w:rPr>
                <w:rFonts w:hint="default" w:ascii="Wingdings" w:hAnsi="宋体" w:eastAsia="宋体"/>
                <w:color w:val="auto"/>
                <w:position w:val="0"/>
                <w:sz w:val="21"/>
                <w:szCs w:val="21"/>
              </w:rPr>
              <w:sym w:font="Wingdings" w:char="00FE"/>
            </w:r>
            <w:r>
              <w:rPr>
                <w:rFonts w:hint="default" w:ascii="楷体" w:hAnsi="宋体" w:eastAsia="宋体"/>
                <w:color w:val="auto"/>
                <w:position w:val="0"/>
                <w:sz w:val="21"/>
                <w:szCs w:val="21"/>
              </w:rPr>
              <w:t xml:space="preserve">  </w:t>
            </w:r>
            <w:r>
              <w:rPr>
                <w:rFonts w:hint="default" w:ascii="楷体" w:hAnsi="楷体" w:eastAsia="楷体"/>
                <w:color w:val="auto"/>
                <w:position w:val="0"/>
                <w:sz w:val="21"/>
                <w:szCs w:val="21"/>
              </w:rPr>
              <w:t>否□</w:t>
            </w:r>
          </w:p>
          <w:p>
            <w:pPr>
              <w:numPr>
                <w:ilvl w:val="0"/>
                <w:numId w:val="0"/>
              </w:numPr>
              <w:autoSpaceDE/>
              <w:autoSpaceDN/>
              <w:spacing w:before="0" w:after="0" w:line="560" w:lineRule="exact"/>
              <w:ind w:right="0" w:firstLine="0"/>
              <w:jc w:val="left"/>
              <w:rPr>
                <w:rFonts w:hint="default" w:ascii="楷体" w:hAnsi="楷体" w:eastAsia="楷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trHeight w:val="3959" w:hRule="atLeast"/>
        </w:trPr>
        <w:tc>
          <w:tcPr>
            <w:tcW w:w="53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rPr>
                <w:rFonts w:hint="default" w:ascii="楷体" w:hAnsi="楷体" w:eastAsia="楷体"/>
                <w:color w:val="auto"/>
                <w:position w:val="0"/>
                <w:sz w:val="21"/>
                <w:szCs w:val="21"/>
              </w:rPr>
            </w:pPr>
            <w:r>
              <w:rPr>
                <w:rFonts w:hint="default" w:ascii="楷体" w:hAnsi="楷体" w:eastAsia="楷体"/>
                <w:color w:val="auto"/>
                <w:position w:val="0"/>
                <w:sz w:val="21"/>
                <w:szCs w:val="21"/>
              </w:rPr>
              <w:t>部门</w:t>
            </w: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rPr>
                <w:rFonts w:hint="default" w:ascii="楷体" w:hAnsi="楷体" w:eastAsia="楷体"/>
                <w:color w:val="auto"/>
                <w:position w:val="0"/>
                <w:sz w:val="21"/>
                <w:szCs w:val="21"/>
              </w:rPr>
            </w:pPr>
            <w:r>
              <w:rPr>
                <w:rFonts w:hint="default" w:ascii="楷体" w:hAnsi="楷体" w:eastAsia="楷体"/>
                <w:color w:val="auto"/>
                <w:position w:val="0"/>
                <w:sz w:val="21"/>
                <w:szCs w:val="21"/>
              </w:rPr>
              <w:t>主要绩效</w:t>
            </w:r>
          </w:p>
        </w:tc>
        <w:tc>
          <w:tcPr>
            <w:tcW w:w="8827" w:type="dxa"/>
            <w:gridSpan w:val="1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420"/>
              <w:jc w:val="both"/>
              <w:textAlignment w:val="auto"/>
              <w:outlineLvl w:val="9"/>
              <w:rPr>
                <w:rFonts w:hint="default" w:asciiTheme="minorEastAsia" w:hAnsiTheme="minorEastAsia" w:eastAsiaTheme="minorEastAsia" w:cstheme="minorEastAsia"/>
                <w:color w:val="333333"/>
                <w:position w:val="0"/>
                <w:sz w:val="21"/>
                <w:szCs w:val="21"/>
              </w:rPr>
            </w:pPr>
            <w:r>
              <w:rPr>
                <w:rFonts w:hint="default" w:asciiTheme="minorEastAsia" w:hAnsiTheme="minorEastAsia" w:eastAsiaTheme="minorEastAsia" w:cstheme="minorEastAsia"/>
                <w:color w:val="333333"/>
                <w:position w:val="0"/>
                <w:sz w:val="21"/>
                <w:szCs w:val="21"/>
              </w:rPr>
              <w:t>1、法律援助为群众争取了经济利益,挽回了经济损失;全年争取经济利益或挽回经济损失3836万元。</w:t>
            </w: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420"/>
              <w:jc w:val="both"/>
              <w:textAlignment w:val="auto"/>
              <w:outlineLvl w:val="9"/>
              <w:rPr>
                <w:rFonts w:hint="default" w:asciiTheme="minorEastAsia" w:hAnsiTheme="minorEastAsia" w:eastAsiaTheme="minorEastAsia" w:cstheme="minorEastAsia"/>
                <w:color w:val="333333"/>
                <w:position w:val="0"/>
                <w:sz w:val="21"/>
                <w:szCs w:val="21"/>
              </w:rPr>
            </w:pPr>
            <w:r>
              <w:rPr>
                <w:rFonts w:hint="default" w:asciiTheme="minorEastAsia" w:hAnsiTheme="minorEastAsia" w:eastAsiaTheme="minorEastAsia" w:cstheme="minorEastAsia"/>
                <w:color w:val="333333"/>
                <w:position w:val="0"/>
                <w:sz w:val="21"/>
                <w:szCs w:val="21"/>
              </w:rPr>
              <w:t>2、加快基层信息化建设,县社区矫正中心和26个乡镇司法所全面建成社区矫正视讯系统。</w:t>
            </w: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420"/>
              <w:jc w:val="both"/>
              <w:textAlignment w:val="auto"/>
              <w:outlineLvl w:val="9"/>
              <w:rPr>
                <w:rFonts w:hint="default" w:asciiTheme="minorEastAsia" w:hAnsiTheme="minorEastAsia" w:eastAsiaTheme="minorEastAsia" w:cstheme="minorEastAsia"/>
                <w:color w:val="333333"/>
                <w:position w:val="0"/>
                <w:sz w:val="21"/>
                <w:szCs w:val="21"/>
              </w:rPr>
            </w:pPr>
            <w:r>
              <w:rPr>
                <w:rFonts w:hint="default" w:asciiTheme="minorEastAsia" w:hAnsiTheme="minorEastAsia" w:eastAsiaTheme="minorEastAsia" w:cstheme="minorEastAsia"/>
                <w:color w:val="333333"/>
                <w:position w:val="0"/>
                <w:sz w:val="21"/>
                <w:szCs w:val="21"/>
              </w:rPr>
              <w:t>3、全面推进公共法律服务体系建设,整合法律咨询、法律援助、律师管理、信访接待等服务职能，打造一流的县级公共法律服务平台，极大地方便了群众寻求优质的法律服务。</w:t>
            </w: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420"/>
              <w:jc w:val="both"/>
              <w:textAlignment w:val="auto"/>
              <w:outlineLvl w:val="9"/>
              <w:rPr>
                <w:rFonts w:hint="default" w:asciiTheme="minorEastAsia" w:hAnsiTheme="minorEastAsia" w:eastAsiaTheme="minorEastAsia" w:cstheme="minorEastAsia"/>
                <w:color w:val="333333"/>
                <w:position w:val="0"/>
                <w:sz w:val="21"/>
                <w:szCs w:val="21"/>
              </w:rPr>
            </w:pPr>
            <w:r>
              <w:rPr>
                <w:rFonts w:hint="default" w:asciiTheme="minorEastAsia" w:hAnsiTheme="minorEastAsia" w:eastAsiaTheme="minorEastAsia" w:cstheme="minorEastAsia"/>
                <w:color w:val="333333"/>
                <w:position w:val="0"/>
                <w:sz w:val="21"/>
                <w:szCs w:val="21"/>
              </w:rPr>
              <w:t>4、人民调解“以奖代补”聚力矛盾纠纷化解，全年全县调解组织申报“以奖代补”金额139.25万元,扎实开展“三调联动解纠纷,防控风险促发展”等专项排查活动,涌现了一大批先进人物,.其中七江镇人民调解员欧阳秋仁获“全国模范人民调解员”,周旺镇肖良春获得“全国法律援助先进个人”等荣誉称号。</w:t>
            </w: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420"/>
              <w:jc w:val="both"/>
              <w:textAlignment w:val="auto"/>
              <w:outlineLvl w:val="9"/>
              <w:rPr>
                <w:rFonts w:hint="default" w:asciiTheme="minorEastAsia" w:hAnsiTheme="minorEastAsia" w:eastAsiaTheme="minorEastAsia" w:cstheme="minorEastAsia"/>
                <w:color w:val="333333"/>
                <w:position w:val="0"/>
                <w:sz w:val="21"/>
                <w:szCs w:val="21"/>
              </w:rPr>
            </w:pPr>
            <w:r>
              <w:rPr>
                <w:rFonts w:hint="default" w:asciiTheme="minorEastAsia" w:hAnsiTheme="minorEastAsia" w:eastAsiaTheme="minorEastAsia" w:cstheme="minorEastAsia"/>
                <w:color w:val="333333"/>
                <w:position w:val="0"/>
                <w:sz w:val="21"/>
                <w:szCs w:val="21"/>
              </w:rPr>
              <w:t>5、坚持普法并举,建设法治隆回,我局荣获“六五”普法依法治理先进单位;开通了“隆回司法局”微信公众号,官方发布普法知识,强化法治文化长廊建设,推进法治公园建设,营造良好的普法氛围。</w:t>
            </w: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420"/>
              <w:jc w:val="both"/>
              <w:textAlignment w:val="auto"/>
              <w:outlineLvl w:val="9"/>
              <w:rPr>
                <w:rFonts w:hint="default" w:ascii="楷体" w:hAnsi="楷体" w:eastAsia="楷体"/>
                <w:color w:val="auto"/>
                <w:position w:val="0"/>
                <w:sz w:val="21"/>
                <w:szCs w:val="21"/>
              </w:rPr>
            </w:pPr>
            <w:r>
              <w:rPr>
                <w:rFonts w:hint="default" w:asciiTheme="minorEastAsia" w:hAnsiTheme="minorEastAsia" w:eastAsiaTheme="minorEastAsia" w:cstheme="minorEastAsia"/>
                <w:color w:val="333333"/>
                <w:position w:val="0"/>
                <w:sz w:val="21"/>
                <w:szCs w:val="21"/>
              </w:rPr>
              <w:t>6、扎实开展脱贫攻坚和基层党建工作.扶贫工作深得民心。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trHeight w:val="1172" w:hRule="atLeast"/>
        </w:trPr>
        <w:tc>
          <w:tcPr>
            <w:tcW w:w="53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rPr>
                <w:rFonts w:hint="default" w:ascii="楷体" w:hAnsi="楷体" w:eastAsia="楷体"/>
                <w:color w:val="auto"/>
                <w:position w:val="0"/>
                <w:sz w:val="21"/>
                <w:szCs w:val="21"/>
              </w:rPr>
            </w:pPr>
            <w:r>
              <w:rPr>
                <w:rFonts w:hint="default" w:ascii="楷体" w:hAnsi="楷体" w:eastAsia="楷体"/>
                <w:color w:val="auto"/>
                <w:position w:val="0"/>
                <w:sz w:val="21"/>
                <w:szCs w:val="21"/>
              </w:rPr>
              <w:t>自评结论</w:t>
            </w:r>
          </w:p>
        </w:tc>
        <w:tc>
          <w:tcPr>
            <w:tcW w:w="8827" w:type="dxa"/>
            <w:gridSpan w:val="1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rPr>
                <w:rFonts w:hint="default" w:ascii="楷体" w:hAnsi="楷体" w:eastAsia="楷体"/>
                <w:color w:val="auto"/>
                <w:position w:val="0"/>
                <w:sz w:val="21"/>
                <w:szCs w:val="21"/>
              </w:rPr>
            </w:pPr>
            <w:r>
              <w:rPr>
                <w:rFonts w:hint="default" w:ascii="楷体" w:hAnsi="楷体" w:eastAsia="楷体"/>
                <w:color w:val="auto"/>
                <w:position w:val="0"/>
                <w:sz w:val="21"/>
                <w:szCs w:val="21"/>
              </w:rPr>
              <w:t>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trHeight w:val="728" w:hRule="atLeast"/>
        </w:trPr>
        <w:tc>
          <w:tcPr>
            <w:tcW w:w="53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rPr>
                <w:rFonts w:hint="default" w:ascii="楷体" w:hAnsi="楷体" w:eastAsia="楷体"/>
                <w:color w:val="auto"/>
                <w:position w:val="0"/>
                <w:sz w:val="21"/>
                <w:szCs w:val="21"/>
              </w:rPr>
            </w:pPr>
            <w:r>
              <w:rPr>
                <w:rFonts w:hint="default" w:ascii="楷体" w:hAnsi="楷体" w:eastAsia="楷体"/>
                <w:color w:val="auto"/>
                <w:position w:val="0"/>
                <w:sz w:val="21"/>
                <w:szCs w:val="21"/>
              </w:rPr>
              <w:t>问题与建议</w:t>
            </w:r>
          </w:p>
        </w:tc>
        <w:tc>
          <w:tcPr>
            <w:tcW w:w="8827" w:type="dxa"/>
            <w:gridSpan w:val="1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420"/>
              <w:jc w:val="both"/>
              <w:textAlignment w:val="auto"/>
              <w:outlineLvl w:val="9"/>
              <w:rPr>
                <w:rFonts w:hint="default" w:asciiTheme="minorEastAsia" w:hAnsiTheme="minorEastAsia" w:eastAsiaTheme="minorEastAsia" w:cstheme="minorEastAsia"/>
                <w:color w:val="333333"/>
                <w:position w:val="0"/>
                <w:sz w:val="21"/>
                <w:szCs w:val="21"/>
              </w:rPr>
            </w:pPr>
            <w:r>
              <w:rPr>
                <w:rFonts w:hint="default" w:asciiTheme="minorEastAsia" w:hAnsiTheme="minorEastAsia" w:eastAsiaTheme="minorEastAsia" w:cstheme="minorEastAsia"/>
                <w:color w:val="333333"/>
                <w:position w:val="0"/>
                <w:sz w:val="21"/>
                <w:szCs w:val="21"/>
              </w:rPr>
              <w:t>存在的问题：</w:t>
            </w: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420"/>
              <w:jc w:val="both"/>
              <w:textAlignment w:val="auto"/>
              <w:outlineLvl w:val="9"/>
              <w:rPr>
                <w:rFonts w:hint="default" w:asciiTheme="minorEastAsia" w:hAnsiTheme="minorEastAsia" w:eastAsiaTheme="minorEastAsia" w:cstheme="minorEastAsia"/>
                <w:color w:val="333333"/>
                <w:position w:val="0"/>
                <w:sz w:val="21"/>
                <w:szCs w:val="21"/>
              </w:rPr>
            </w:pPr>
            <w:r>
              <w:rPr>
                <w:rFonts w:hint="default" w:asciiTheme="minorEastAsia" w:hAnsiTheme="minorEastAsia" w:eastAsiaTheme="minorEastAsia" w:cstheme="minorEastAsia"/>
                <w:color w:val="333333"/>
                <w:position w:val="0"/>
                <w:sz w:val="21"/>
                <w:szCs w:val="21"/>
              </w:rPr>
              <w:t>1</w:t>
            </w:r>
            <w:r>
              <w:rPr>
                <w:rFonts w:hint="eastAsia" w:asciiTheme="minorEastAsia" w:hAnsiTheme="minorEastAsia" w:cstheme="minorEastAsia"/>
                <w:color w:val="333333"/>
                <w:position w:val="0"/>
                <w:sz w:val="21"/>
                <w:szCs w:val="21"/>
                <w:lang w:val="en-US" w:eastAsia="zh-CN"/>
              </w:rPr>
              <w:t>.</w:t>
            </w:r>
            <w:r>
              <w:rPr>
                <w:rFonts w:hint="default" w:asciiTheme="minorEastAsia" w:hAnsiTheme="minorEastAsia" w:eastAsiaTheme="minorEastAsia" w:cstheme="minorEastAsia"/>
                <w:color w:val="333333"/>
                <w:position w:val="0"/>
                <w:sz w:val="21"/>
                <w:szCs w:val="21"/>
              </w:rPr>
              <w:t>司法所缺编少人，办公用房紧缺，制约了基层司法行政工作的开展。</w:t>
            </w: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420"/>
              <w:jc w:val="both"/>
              <w:textAlignment w:val="auto"/>
              <w:outlineLvl w:val="9"/>
              <w:rPr>
                <w:rFonts w:hint="default" w:asciiTheme="minorEastAsia" w:hAnsiTheme="minorEastAsia" w:eastAsiaTheme="minorEastAsia" w:cstheme="minorEastAsia"/>
                <w:color w:val="333333"/>
                <w:position w:val="0"/>
                <w:sz w:val="21"/>
                <w:szCs w:val="21"/>
              </w:rPr>
            </w:pPr>
            <w:r>
              <w:rPr>
                <w:rFonts w:hint="default" w:asciiTheme="minorEastAsia" w:hAnsiTheme="minorEastAsia" w:eastAsiaTheme="minorEastAsia" w:cstheme="minorEastAsia"/>
                <w:color w:val="333333"/>
                <w:position w:val="0"/>
                <w:sz w:val="21"/>
                <w:szCs w:val="21"/>
              </w:rPr>
              <w:t>2</w:t>
            </w:r>
            <w:r>
              <w:rPr>
                <w:rFonts w:hint="eastAsia" w:asciiTheme="minorEastAsia" w:hAnsiTheme="minorEastAsia" w:cstheme="minorEastAsia"/>
                <w:color w:val="333333"/>
                <w:position w:val="0"/>
                <w:sz w:val="21"/>
                <w:szCs w:val="21"/>
                <w:lang w:val="en-US" w:eastAsia="zh-CN"/>
              </w:rPr>
              <w:t>.</w:t>
            </w:r>
            <w:r>
              <w:rPr>
                <w:rFonts w:hint="default" w:asciiTheme="minorEastAsia" w:hAnsiTheme="minorEastAsia" w:eastAsiaTheme="minorEastAsia" w:cstheme="minorEastAsia"/>
                <w:color w:val="333333"/>
                <w:position w:val="0"/>
                <w:sz w:val="21"/>
                <w:szCs w:val="21"/>
              </w:rPr>
              <w:t>人民调解阵地建设不规范，调解组织的作用没有充分发挥。</w:t>
            </w: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420"/>
              <w:jc w:val="both"/>
              <w:textAlignment w:val="auto"/>
              <w:outlineLvl w:val="9"/>
              <w:rPr>
                <w:rFonts w:hint="default" w:asciiTheme="minorEastAsia" w:hAnsiTheme="minorEastAsia" w:eastAsiaTheme="minorEastAsia" w:cstheme="minorEastAsia"/>
                <w:color w:val="333333"/>
                <w:position w:val="0"/>
                <w:sz w:val="21"/>
                <w:szCs w:val="21"/>
              </w:rPr>
            </w:pPr>
            <w:r>
              <w:rPr>
                <w:rFonts w:hint="default" w:asciiTheme="minorEastAsia" w:hAnsiTheme="minorEastAsia" w:eastAsiaTheme="minorEastAsia" w:cstheme="minorEastAsia"/>
                <w:color w:val="333333"/>
                <w:position w:val="0"/>
                <w:sz w:val="21"/>
                <w:szCs w:val="21"/>
              </w:rPr>
              <w:t>3</w:t>
            </w:r>
            <w:r>
              <w:rPr>
                <w:rFonts w:hint="eastAsia" w:asciiTheme="minorEastAsia" w:hAnsiTheme="minorEastAsia" w:cstheme="minorEastAsia"/>
                <w:color w:val="333333"/>
                <w:position w:val="0"/>
                <w:sz w:val="21"/>
                <w:szCs w:val="21"/>
                <w:lang w:val="en-US" w:eastAsia="zh-CN"/>
              </w:rPr>
              <w:t>.</w:t>
            </w:r>
            <w:r>
              <w:rPr>
                <w:rFonts w:hint="default" w:asciiTheme="minorEastAsia" w:hAnsiTheme="minorEastAsia" w:eastAsiaTheme="minorEastAsia" w:cstheme="minorEastAsia"/>
                <w:color w:val="333333"/>
                <w:position w:val="0"/>
                <w:sz w:val="21"/>
                <w:szCs w:val="21"/>
              </w:rPr>
              <w:t>局机关班子职数少，任务重、压力大。局机关干部年龄普遍偏大，工作动力不足。</w:t>
            </w: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420"/>
              <w:jc w:val="both"/>
              <w:textAlignment w:val="auto"/>
              <w:outlineLvl w:val="9"/>
              <w:rPr>
                <w:rFonts w:hint="default" w:asciiTheme="minorEastAsia" w:hAnsiTheme="minorEastAsia" w:eastAsiaTheme="minorEastAsia" w:cstheme="minorEastAsia"/>
                <w:color w:val="333333"/>
                <w:position w:val="0"/>
                <w:sz w:val="21"/>
                <w:szCs w:val="21"/>
              </w:rPr>
            </w:pPr>
            <w:r>
              <w:rPr>
                <w:rFonts w:hint="default" w:asciiTheme="minorEastAsia" w:hAnsiTheme="minorEastAsia" w:eastAsiaTheme="minorEastAsia" w:cstheme="minorEastAsia"/>
                <w:color w:val="333333"/>
                <w:position w:val="0"/>
                <w:sz w:val="21"/>
                <w:szCs w:val="21"/>
              </w:rPr>
              <w:t>建议：</w:t>
            </w: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420"/>
              <w:jc w:val="both"/>
              <w:textAlignment w:val="auto"/>
              <w:outlineLvl w:val="9"/>
              <w:rPr>
                <w:rFonts w:hint="default" w:asciiTheme="minorEastAsia" w:hAnsiTheme="minorEastAsia" w:eastAsiaTheme="minorEastAsia" w:cstheme="minorEastAsia"/>
                <w:color w:val="333333"/>
                <w:position w:val="0"/>
                <w:sz w:val="21"/>
                <w:szCs w:val="21"/>
              </w:rPr>
            </w:pPr>
            <w:r>
              <w:rPr>
                <w:rFonts w:hint="default" w:asciiTheme="minorEastAsia" w:hAnsiTheme="minorEastAsia" w:eastAsiaTheme="minorEastAsia" w:cstheme="minorEastAsia"/>
                <w:color w:val="333333"/>
                <w:position w:val="0"/>
                <w:sz w:val="21"/>
                <w:szCs w:val="21"/>
              </w:rPr>
              <w:t>1</w:t>
            </w:r>
            <w:r>
              <w:rPr>
                <w:rFonts w:hint="eastAsia" w:asciiTheme="minorEastAsia" w:hAnsiTheme="minorEastAsia" w:cstheme="minorEastAsia"/>
                <w:color w:val="333333"/>
                <w:position w:val="0"/>
                <w:sz w:val="21"/>
                <w:szCs w:val="21"/>
                <w:lang w:val="en-US" w:eastAsia="zh-CN"/>
              </w:rPr>
              <w:t>.</w:t>
            </w:r>
            <w:r>
              <w:rPr>
                <w:rFonts w:hint="default" w:asciiTheme="minorEastAsia" w:hAnsiTheme="minorEastAsia" w:eastAsiaTheme="minorEastAsia" w:cstheme="minorEastAsia"/>
                <w:color w:val="333333"/>
                <w:position w:val="0"/>
                <w:sz w:val="21"/>
                <w:szCs w:val="21"/>
              </w:rPr>
              <w:t>加大对缺编司法所人员招录力度，落实上级规定的每所不少于3-5人的目标。同时，逐步改善司法所办公条件。</w:t>
            </w: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420"/>
              <w:jc w:val="both"/>
              <w:textAlignment w:val="auto"/>
              <w:outlineLvl w:val="9"/>
              <w:rPr>
                <w:rFonts w:hint="default" w:ascii="楷体" w:hAnsi="楷体" w:eastAsia="楷体"/>
                <w:color w:val="auto"/>
                <w:position w:val="0"/>
                <w:sz w:val="21"/>
                <w:szCs w:val="21"/>
              </w:rPr>
            </w:pPr>
            <w:r>
              <w:rPr>
                <w:rFonts w:hint="default" w:asciiTheme="minorEastAsia" w:hAnsiTheme="minorEastAsia" w:eastAsiaTheme="minorEastAsia" w:cstheme="minorEastAsia"/>
                <w:color w:val="333333"/>
                <w:position w:val="0"/>
                <w:sz w:val="21"/>
                <w:szCs w:val="21"/>
              </w:rPr>
              <w:t>2</w:t>
            </w:r>
            <w:r>
              <w:rPr>
                <w:rFonts w:hint="eastAsia" w:asciiTheme="minorEastAsia" w:hAnsiTheme="minorEastAsia" w:cstheme="minorEastAsia"/>
                <w:color w:val="333333"/>
                <w:position w:val="0"/>
                <w:sz w:val="21"/>
                <w:szCs w:val="21"/>
                <w:lang w:val="en-US" w:eastAsia="zh-CN"/>
              </w:rPr>
              <w:t>.</w:t>
            </w:r>
            <w:r>
              <w:rPr>
                <w:rFonts w:hint="default" w:asciiTheme="minorEastAsia" w:hAnsiTheme="minorEastAsia" w:eastAsiaTheme="minorEastAsia" w:cstheme="minorEastAsia"/>
                <w:color w:val="333333"/>
                <w:position w:val="0"/>
                <w:sz w:val="21"/>
                <w:szCs w:val="21"/>
              </w:rPr>
              <w:t>建议开展村级人民调解委员会成员的培训，县财政应将该项培训工作经费纳入年度预算。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gridAfter w:val="1"/>
          <w:wBefore w:w="15" w:type="dxa"/>
          <w:wAfter w:w="56" w:type="dxa"/>
          <w:trHeight w:val="1722" w:hRule="atLeast"/>
        </w:trPr>
        <w:tc>
          <w:tcPr>
            <w:tcW w:w="533" w:type="dxa"/>
            <w:vAlign w:val="top"/>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0"/>
              <w:jc w:val="center"/>
              <w:textAlignment w:val="auto"/>
              <w:rPr>
                <w:rFonts w:hint="default" w:ascii="楷体" w:hAnsi="楷体" w:eastAsia="楷体"/>
                <w:color w:val="auto"/>
                <w:position w:val="0"/>
                <w:sz w:val="21"/>
                <w:szCs w:val="21"/>
              </w:rPr>
            </w:pPr>
            <w:r>
              <w:rPr>
                <w:rFonts w:hint="default" w:ascii="楷体" w:hAnsi="楷体" w:eastAsia="楷体"/>
                <w:color w:val="auto"/>
                <w:position w:val="0"/>
                <w:sz w:val="21"/>
                <w:szCs w:val="21"/>
              </w:rPr>
              <w:t>主管部门意见</w:t>
            </w:r>
          </w:p>
        </w:tc>
        <w:tc>
          <w:tcPr>
            <w:tcW w:w="8827" w:type="dxa"/>
            <w:gridSpan w:val="10"/>
            <w:vAlign w:val="top"/>
          </w:tcPr>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3360"/>
              <w:jc w:val="both"/>
              <w:textAlignment w:val="auto"/>
              <w:rPr>
                <w:rFonts w:hint="default" w:ascii="楷体" w:hAnsi="楷体" w:eastAsia="楷体"/>
                <w:color w:val="auto"/>
                <w:positio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3360"/>
              <w:jc w:val="both"/>
              <w:textAlignment w:val="auto"/>
              <w:rPr>
                <w:rFonts w:hint="default" w:ascii="楷体" w:hAnsi="楷体" w:eastAsia="楷体"/>
                <w:color w:val="auto"/>
                <w:positio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3360"/>
              <w:jc w:val="both"/>
              <w:textAlignment w:val="auto"/>
              <w:rPr>
                <w:rFonts w:hint="default" w:ascii="楷体" w:hAnsi="楷体" w:eastAsia="楷体"/>
                <w:color w:val="auto"/>
                <w:positio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3360"/>
              <w:jc w:val="both"/>
              <w:textAlignment w:val="auto"/>
              <w:rPr>
                <w:rFonts w:hint="default" w:ascii="楷体" w:hAnsi="楷体" w:eastAsia="楷体"/>
                <w:color w:val="auto"/>
                <w:positio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before="0" w:after="0" w:line="280" w:lineRule="exact"/>
              <w:ind w:right="0" w:firstLine="3360"/>
              <w:jc w:val="both"/>
              <w:textAlignment w:val="auto"/>
              <w:rPr>
                <w:rFonts w:hint="default" w:ascii="楷体" w:hAnsi="楷体" w:eastAsia="楷体"/>
                <w:color w:val="auto"/>
                <w:position w:val="0"/>
                <w:sz w:val="21"/>
                <w:szCs w:val="21"/>
              </w:rPr>
            </w:pPr>
            <w:r>
              <w:rPr>
                <w:rFonts w:hint="default" w:ascii="楷体" w:hAnsi="楷体" w:eastAsia="楷体"/>
                <w:color w:val="auto"/>
                <w:position w:val="0"/>
                <w:sz w:val="21"/>
                <w:szCs w:val="21"/>
              </w:rPr>
              <w:t>主管部门（盖章）：</w:t>
            </w:r>
          </w:p>
        </w:tc>
      </w:tr>
    </w:tbl>
    <w:p>
      <w:pPr>
        <w:numPr>
          <w:ilvl w:val="0"/>
          <w:numId w:val="0"/>
        </w:numPr>
        <w:autoSpaceDE/>
        <w:autoSpaceDN/>
        <w:spacing w:before="0" w:after="0" w:line="240" w:lineRule="auto"/>
        <w:ind w:right="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填报人：邹岳歧       联系电话：15367</w:t>
      </w:r>
      <w:r>
        <w:rPr>
          <w:rFonts w:hint="eastAsia" w:ascii="宋体" w:hAnsi="宋体"/>
          <w:color w:val="auto"/>
          <w:position w:val="0"/>
          <w:sz w:val="21"/>
          <w:szCs w:val="21"/>
          <w:lang w:val="en-US" w:eastAsia="zh-CN"/>
        </w:rPr>
        <w:t>****</w:t>
      </w:r>
      <w:bookmarkStart w:id="0" w:name="_GoBack"/>
      <w:bookmarkEnd w:id="0"/>
      <w:r>
        <w:rPr>
          <w:rFonts w:hint="default" w:ascii="宋体" w:hAnsi="宋体" w:eastAsia="宋体"/>
          <w:color w:val="auto"/>
          <w:position w:val="0"/>
          <w:sz w:val="21"/>
          <w:szCs w:val="21"/>
        </w:rPr>
        <w:t>60           时间：2018 年</w:t>
      </w:r>
      <w:r>
        <w:rPr>
          <w:rFonts w:hint="default" w:ascii="宋体" w:hAnsi="Times New Roman" w:eastAsia="Times New Roman"/>
          <w:color w:val="auto"/>
          <w:position w:val="0"/>
          <w:sz w:val="21"/>
          <w:szCs w:val="21"/>
        </w:rPr>
        <w:t xml:space="preserve"> </w:t>
      </w:r>
      <w:r>
        <w:rPr>
          <w:rFonts w:hint="default" w:ascii="宋体" w:hAnsi="宋体" w:eastAsia="宋体"/>
          <w:color w:val="auto"/>
          <w:position w:val="0"/>
          <w:sz w:val="21"/>
          <w:szCs w:val="21"/>
        </w:rPr>
        <w:t xml:space="preserve"> 8 月</w:t>
      </w:r>
      <w:r>
        <w:rPr>
          <w:rFonts w:hint="default" w:ascii="宋体" w:hAnsi="Times New Roman" w:eastAsia="Times New Roman"/>
          <w:color w:val="auto"/>
          <w:position w:val="0"/>
          <w:sz w:val="21"/>
          <w:szCs w:val="21"/>
        </w:rPr>
        <w:t xml:space="preserve"> </w:t>
      </w:r>
      <w:r>
        <w:rPr>
          <w:rFonts w:hint="default" w:ascii="宋体" w:hAnsi="宋体" w:eastAsia="宋体"/>
          <w:color w:val="auto"/>
          <w:position w:val="0"/>
          <w:sz w:val="21"/>
          <w:szCs w:val="21"/>
        </w:rPr>
        <w:t xml:space="preserve"> 20 日</w:t>
      </w:r>
    </w:p>
    <w:p>
      <w:pPr>
        <w:numPr>
          <w:ilvl w:val="0"/>
          <w:numId w:val="0"/>
        </w:numPr>
        <w:autoSpaceDE/>
        <w:autoSpaceDN/>
        <w:spacing w:before="0" w:after="0" w:line="240" w:lineRule="auto"/>
        <w:ind w:right="0"/>
        <w:jc w:val="both"/>
        <w:rPr>
          <w:rFonts w:hint="default" w:ascii="黑体" w:hAnsi="宋体" w:eastAsia="宋体"/>
          <w:color w:val="auto"/>
          <w:position w:val="0"/>
          <w:sz w:val="32"/>
          <w:szCs w:val="32"/>
        </w:rPr>
      </w:pPr>
      <w:r>
        <w:rPr>
          <w:rFonts w:hint="default" w:ascii="Times New Roman" w:hAnsi="黑体" w:eastAsia="黑体"/>
          <w:color w:val="auto"/>
          <w:position w:val="0"/>
          <w:sz w:val="21"/>
          <w:szCs w:val="21"/>
        </w:rPr>
        <w:t>注：自评结论填“优、良、中、差”。</w:t>
      </w:r>
    </w:p>
    <w:sectPr>
      <w:headerReference r:id="rId3" w:type="default"/>
      <w:footerReference r:id="rId4" w:type="default"/>
      <w:footerReference r:id="rId5" w:type="even"/>
      <w:pgSz w:w="11905" w:h="16837"/>
      <w:pgMar w:top="1417" w:right="1588" w:bottom="1417" w:left="1588" w:header="720" w:footer="850" w:gutter="0"/>
      <w:pgNumType w:fmt="decimal" w:start="1"/>
      <w:cols w:equalWidth="0" w:num="1">
        <w:col w:w="8729"/>
      </w:cols>
      <w:rtlGutter w:val="0"/>
      <w:docGrid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w:altName w:val="RomanS"/>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8217" w:y="1"/>
      <w:numPr>
        <w:ilvl w:val="0"/>
        <w:numId w:val="0"/>
      </w:numPr>
      <w:autoSpaceDE/>
      <w:autoSpaceDN/>
      <w:snapToGrid w:val="0"/>
      <w:spacing w:before="0" w:after="0" w:line="240" w:lineRule="auto"/>
      <w:ind w:right="0" w:firstLine="0"/>
      <w:jc w:val="left"/>
      <w:rPr>
        <w:rStyle w:val="27"/>
        <w:rFonts w:hint="default" w:ascii="Times New Roman" w:hAnsi="Times New Roman" w:eastAsia="Times New Roman"/>
        <w:color w:val="auto"/>
        <w:position w:val="0"/>
        <w:sz w:val="28"/>
        <w:szCs w:val="28"/>
      </w:rPr>
    </w:pPr>
    <w:r>
      <w:rPr>
        <w:rStyle w:val="27"/>
        <w:rFonts w:hint="default" w:ascii="Times New Roman" w:hAnsi="Times New Roman" w:eastAsia="Times New Roman"/>
        <w:color w:val="auto"/>
        <w:position w:val="0"/>
        <w:sz w:val="18"/>
        <w:szCs w:val="18"/>
      </w:rPr>
      <w:t>—</w:t>
    </w:r>
    <w:r>
      <w:rPr>
        <w:rStyle w:val="27"/>
        <w:rFonts w:hint="default" w:ascii="Times New Roman" w:hAnsi="Times New Roman" w:eastAsia="Times New Roman"/>
        <w:color w:val="auto"/>
        <w:position w:val="0"/>
        <w:sz w:val="28"/>
        <w:szCs w:val="28"/>
      </w:rPr>
      <w:fldChar w:fldCharType="begin"/>
    </w:r>
    <w:r>
      <w:instrText xml:space="preserve">PAGE  \* MERGEFORMAT</w:instrText>
    </w:r>
    <w:r>
      <w:fldChar w:fldCharType="separate"/>
    </w:r>
    <w:r>
      <w:rPr>
        <w:rStyle w:val="27"/>
        <w:rFonts w:hint="default" w:ascii="Times New Roman" w:hAnsi="Times New Roman" w:eastAsia="Times New Roman"/>
        <w:color w:val="auto"/>
        <w:position w:val="0"/>
        <w:sz w:val="28"/>
        <w:szCs w:val="28"/>
      </w:rPr>
      <w:t>1</w:t>
    </w:r>
    <w:r>
      <w:rPr>
        <w:rFonts w:hint="default" w:ascii="Times New Roman" w:hAnsi="Times New Roman" w:eastAsia="Times New Roman"/>
        <w:color w:val="auto"/>
        <w:position w:val="0"/>
        <w:sz w:val="28"/>
        <w:szCs w:val="28"/>
      </w:rPr>
      <w:fldChar w:fldCharType="end"/>
    </w:r>
    <w:r>
      <w:rPr>
        <w:rStyle w:val="27"/>
        <w:rFonts w:hint="default" w:ascii="Times New Roman" w:hAnsi="Times New Roman" w:eastAsia="Times New Roman"/>
        <w:color w:val="auto"/>
        <w:position w:val="0"/>
        <w:sz w:val="18"/>
        <w:szCs w:val="18"/>
      </w:rPr>
      <w:t>—</w:t>
    </w:r>
  </w:p>
  <w:p>
    <w:pPr>
      <w:pStyle w:val="15"/>
      <w:numPr>
        <w:ilvl w:val="0"/>
        <w:numId w:val="0"/>
      </w:numPr>
      <w:autoSpaceDE/>
      <w:autoSpaceDN/>
      <w:snapToGrid w:val="0"/>
      <w:spacing w:before="0" w:after="0" w:line="240" w:lineRule="auto"/>
      <w:ind w:right="360" w:firstLine="360"/>
      <w:jc w:val="left"/>
      <w:rPr>
        <w:rFonts w:hint="default" w:ascii="Times New Roman" w:hAnsi="Times New Roman" w:eastAsia="Times New Roman"/>
        <w:color w:val="auto"/>
        <w:positio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8629" w:y="1"/>
      <w:numPr>
        <w:ilvl w:val="0"/>
        <w:numId w:val="0"/>
      </w:numPr>
      <w:autoSpaceDE/>
      <w:autoSpaceDN/>
      <w:snapToGrid w:val="0"/>
      <w:spacing w:before="0" w:after="0" w:line="240" w:lineRule="auto"/>
      <w:ind w:right="0" w:firstLine="0"/>
      <w:jc w:val="left"/>
      <w:rPr>
        <w:rStyle w:val="27"/>
        <w:rFonts w:hint="default" w:ascii="Times New Roman" w:hAnsi="Times New Roman" w:eastAsia="Times New Roman"/>
        <w:color w:val="auto"/>
        <w:position w:val="0"/>
        <w:sz w:val="18"/>
        <w:szCs w:val="18"/>
      </w:rPr>
    </w:pPr>
    <w:r>
      <w:rPr>
        <w:rStyle w:val="27"/>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1</w:t>
    </w:r>
    <w:r>
      <w:rPr>
        <w:rFonts w:hint="default" w:ascii="Times New Roman" w:hAnsi="Times New Roman" w:eastAsia="Times New Roman"/>
        <w:color w:val="auto"/>
        <w:position w:val="0"/>
        <w:sz w:val="18"/>
        <w:szCs w:val="18"/>
      </w:rPr>
      <w:fldChar w:fldCharType="end"/>
    </w:r>
  </w:p>
  <w:p>
    <w:pPr>
      <w:pStyle w:val="15"/>
      <w:numPr>
        <w:ilvl w:val="0"/>
        <w:numId w:val="0"/>
      </w:numPr>
      <w:autoSpaceDE/>
      <w:autoSpaceDN/>
      <w:snapToGrid w:val="0"/>
      <w:spacing w:before="0" w:after="0" w:line="240" w:lineRule="auto"/>
      <w:ind w:right="360" w:firstLine="360"/>
      <w:jc w:val="left"/>
      <w:rPr>
        <w:rFonts w:hint="default" w:ascii="Times New Roman" w:hAnsi="Times New Roman" w:eastAsia="Times New Roman"/>
        <w:color w:val="auto"/>
        <w:position w:val="0"/>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numPr>
        <w:ilvl w:val="0"/>
        <w:numId w:val="0"/>
      </w:numPr>
      <w:pBdr>
        <w:bottom w:val="none" w:color="000000" w:sz="0" w:space="0"/>
      </w:pBdr>
      <w:autoSpaceDE/>
      <w:autoSpaceDN/>
      <w:snapToGrid w:val="0"/>
      <w:spacing w:before="0" w:after="0" w:line="240" w:lineRule="auto"/>
      <w:ind w:right="0" w:firstLine="0"/>
      <w:jc w:val="center"/>
      <w:rPr>
        <w:rFonts w:hint="default" w:ascii="Times New Roman" w:hAnsi="Times New Roman" w:eastAsia="Times New Roman"/>
        <w:color w:val="auto"/>
        <w:position w:val="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EB36312"/>
    <w:rsid w:val="1FC021B6"/>
    <w:rsid w:val="5E2850F3"/>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4"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156"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宋体" w:cstheme="minorBidi"/>
      <w:w w:val="100"/>
      <w:sz w:val="21"/>
      <w:szCs w:val="21"/>
      <w:shd w:val="clear"/>
    </w:rPr>
  </w:style>
  <w:style w:type="paragraph" w:styleId="2">
    <w:name w:val="heading 1"/>
    <w:next w:val="1"/>
    <w:qFormat/>
    <w:uiPriority w:val="7"/>
    <w:pPr>
      <w:widowControl/>
      <w:wordWrap/>
      <w:autoSpaceDE/>
      <w:autoSpaceDN/>
      <w:jc w:val="both"/>
    </w:pPr>
    <w:rPr>
      <w:rFonts w:ascii="Calibri" w:hAnsi="Calibri" w:eastAsia="宋体" w:cstheme="minorBidi"/>
      <w:w w:val="100"/>
      <w:sz w:val="28"/>
      <w:szCs w:val="28"/>
      <w:shd w:val="clear"/>
    </w:rPr>
  </w:style>
  <w:style w:type="paragraph" w:styleId="3">
    <w:name w:val="heading 2"/>
    <w:next w:val="1"/>
    <w:qFormat/>
    <w:uiPriority w:val="8"/>
    <w:pPr>
      <w:widowControl/>
      <w:wordWrap/>
      <w:autoSpaceDE/>
      <w:autoSpaceDN/>
      <w:jc w:val="both"/>
    </w:pPr>
    <w:rPr>
      <w:rFonts w:ascii="Calibri" w:hAnsi="Calibri" w:eastAsia="宋体"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Calibri" w:hAnsi="Calibri" w:eastAsia="宋体"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Calibri" w:hAnsi="Calibri" w:eastAsia="宋体" w:cstheme="minorBidi"/>
      <w:b/>
      <w:w w:val="100"/>
      <w:sz w:val="21"/>
      <w:szCs w:val="21"/>
      <w:shd w:val="clear"/>
    </w:rPr>
  </w:style>
  <w:style w:type="paragraph" w:styleId="6">
    <w:name w:val="heading 5"/>
    <w:next w:val="1"/>
    <w:qFormat/>
    <w:uiPriority w:val="11"/>
    <w:pPr>
      <w:widowControl/>
      <w:wordWrap/>
      <w:autoSpaceDE/>
      <w:autoSpaceDN/>
      <w:ind w:left="1400" w:hanging="400"/>
      <w:jc w:val="both"/>
    </w:pPr>
    <w:rPr>
      <w:rFonts w:ascii="Calibri" w:hAnsi="Calibri" w:eastAsia="宋体"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Calibri" w:hAnsi="Calibri" w:eastAsia="宋体" w:cstheme="minorBidi"/>
      <w:b/>
      <w:w w:val="100"/>
      <w:sz w:val="21"/>
      <w:szCs w:val="21"/>
      <w:shd w:val="clear"/>
    </w:rPr>
  </w:style>
  <w:style w:type="paragraph" w:styleId="8">
    <w:name w:val="heading 7"/>
    <w:next w:val="1"/>
    <w:qFormat/>
    <w:uiPriority w:val="13"/>
    <w:pPr>
      <w:widowControl/>
      <w:wordWrap/>
      <w:autoSpaceDE/>
      <w:autoSpaceDN/>
      <w:ind w:left="1800" w:hanging="400"/>
      <w:jc w:val="both"/>
    </w:pPr>
    <w:rPr>
      <w:rFonts w:ascii="Calibri" w:hAnsi="Calibri" w:eastAsia="宋体"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Calibri" w:hAnsi="Calibri" w:eastAsia="宋体"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Calibri" w:hAnsi="Calibri" w:eastAsia="宋体" w:cstheme="minorBidi"/>
      <w:w w:val="100"/>
      <w:sz w:val="21"/>
      <w:szCs w:val="21"/>
      <w:shd w:val="clear"/>
    </w:rPr>
  </w:style>
  <w:style w:type="character" w:default="1" w:styleId="25">
    <w:name w:val="Default Paragraph Font"/>
    <w:semiHidden/>
    <w:unhideWhenUsed/>
    <w:uiPriority w:val="2"/>
  </w:style>
  <w:style w:type="table" w:default="1" w:styleId="24">
    <w:name w:val="Normal Table"/>
    <w:qFormat/>
    <w:uiPriority w:val="37"/>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Calibri" w:hAnsi="Calibri" w:eastAsia="宋体"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Calibri" w:hAnsi="Calibri" w:eastAsia="宋体"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Calibri" w:hAnsi="Calibri" w:eastAsia="宋体"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Calibri" w:hAnsi="Calibri" w:eastAsia="宋体" w:cstheme="minorBidi"/>
      <w:w w:val="100"/>
      <w:sz w:val="21"/>
      <w:szCs w:val="21"/>
      <w:shd w:val="clear"/>
    </w:rPr>
  </w:style>
  <w:style w:type="paragraph" w:styleId="15">
    <w:name w:val="footer"/>
    <w:basedOn w:val="1"/>
    <w:link w:val="40"/>
    <w:qFormat/>
    <w:uiPriority w:val="154"/>
    <w:pPr>
      <w:widowControl/>
      <w:tabs>
        <w:tab w:val="center" w:pos="4153"/>
        <w:tab w:val="right" w:pos="8306"/>
      </w:tabs>
      <w:wordWrap/>
      <w:autoSpaceDE/>
      <w:autoSpaceDN/>
    </w:pPr>
    <w:rPr>
      <w:rFonts w:ascii="Times New Roman" w:hAnsi="Times New Roman" w:eastAsia="Times New Roman"/>
      <w:w w:val="100"/>
      <w:sz w:val="18"/>
      <w:szCs w:val="18"/>
      <w:shd w:val="clear"/>
    </w:rPr>
  </w:style>
  <w:style w:type="paragraph" w:styleId="16">
    <w:name w:val="header"/>
    <w:basedOn w:val="1"/>
    <w:link w:val="39"/>
    <w:qFormat/>
    <w:uiPriority w:val="152"/>
    <w:pPr>
      <w:widowControl/>
      <w:tabs>
        <w:tab w:val="center" w:pos="4153"/>
        <w:tab w:val="right" w:pos="8306"/>
      </w:tabs>
      <w:wordWrap/>
      <w:autoSpaceDE/>
      <w:autoSpaceDN/>
      <w:jc w:val="center"/>
    </w:pPr>
    <w:rPr>
      <w:rFonts w:ascii="Times New Roman" w:hAnsi="Times New Roman" w:eastAsia="Times New Roman"/>
      <w:w w:val="100"/>
      <w:sz w:val="18"/>
      <w:szCs w:val="18"/>
      <w:shd w:val="clear"/>
    </w:rPr>
  </w:style>
  <w:style w:type="paragraph" w:styleId="17">
    <w:name w:val="toc 1"/>
    <w:next w:val="1"/>
    <w:unhideWhenUsed/>
    <w:qFormat/>
    <w:uiPriority w:val="28"/>
    <w:pPr>
      <w:widowControl/>
      <w:wordWrap/>
      <w:autoSpaceDE/>
      <w:autoSpaceDN/>
      <w:jc w:val="both"/>
    </w:pPr>
    <w:rPr>
      <w:rFonts w:ascii="Calibri" w:hAnsi="Calibri" w:eastAsia="宋体" w:cstheme="minorBidi"/>
      <w:w w:val="100"/>
      <w:sz w:val="21"/>
      <w:szCs w:val="21"/>
      <w:shd w:val="clear"/>
    </w:rPr>
  </w:style>
  <w:style w:type="paragraph" w:styleId="18">
    <w:name w:val="toc 4"/>
    <w:next w:val="1"/>
    <w:unhideWhenUsed/>
    <w:qFormat/>
    <w:uiPriority w:val="31"/>
    <w:pPr>
      <w:widowControl/>
      <w:wordWrap/>
      <w:autoSpaceDE/>
      <w:autoSpaceDN/>
      <w:ind w:left="1275" w:firstLine="0"/>
      <w:jc w:val="both"/>
    </w:pPr>
    <w:rPr>
      <w:rFonts w:ascii="Calibri" w:hAnsi="Calibri" w:eastAsia="宋体" w:cstheme="minorBidi"/>
      <w:w w:val="100"/>
      <w:sz w:val="21"/>
      <w:szCs w:val="21"/>
      <w:shd w:val="clear"/>
    </w:rPr>
  </w:style>
  <w:style w:type="paragraph" w:styleId="19">
    <w:name w:val="Subtitle"/>
    <w:qFormat/>
    <w:uiPriority w:val="16"/>
    <w:pPr>
      <w:widowControl/>
      <w:wordWrap/>
      <w:autoSpaceDE/>
      <w:autoSpaceDN/>
      <w:jc w:val="center"/>
    </w:pPr>
    <w:rPr>
      <w:rFonts w:ascii="Calibri" w:hAnsi="Calibri" w:eastAsia="宋体" w:cstheme="minorBidi"/>
      <w:w w:val="100"/>
      <w:sz w:val="24"/>
      <w:szCs w:val="24"/>
      <w:shd w:val="clear"/>
    </w:rPr>
  </w:style>
  <w:style w:type="paragraph" w:styleId="20">
    <w:name w:val="toc 6"/>
    <w:next w:val="1"/>
    <w:unhideWhenUsed/>
    <w:qFormat/>
    <w:uiPriority w:val="33"/>
    <w:pPr>
      <w:widowControl/>
      <w:wordWrap/>
      <w:autoSpaceDE/>
      <w:autoSpaceDN/>
      <w:ind w:left="2125" w:firstLine="0"/>
      <w:jc w:val="both"/>
    </w:pPr>
    <w:rPr>
      <w:rFonts w:ascii="Calibri" w:hAnsi="Calibri" w:eastAsia="宋体" w:cstheme="minorBidi"/>
      <w:w w:val="100"/>
      <w:sz w:val="21"/>
      <w:szCs w:val="21"/>
      <w:shd w:val="clear"/>
    </w:rPr>
  </w:style>
  <w:style w:type="paragraph" w:styleId="21">
    <w:name w:val="toc 2"/>
    <w:next w:val="1"/>
    <w:unhideWhenUsed/>
    <w:qFormat/>
    <w:uiPriority w:val="29"/>
    <w:pPr>
      <w:widowControl/>
      <w:wordWrap/>
      <w:autoSpaceDE/>
      <w:autoSpaceDN/>
      <w:ind w:left="425" w:firstLine="0"/>
      <w:jc w:val="both"/>
    </w:pPr>
    <w:rPr>
      <w:rFonts w:ascii="Calibri" w:hAnsi="Calibri" w:eastAsia="宋体" w:cstheme="minorBidi"/>
      <w:w w:val="100"/>
      <w:sz w:val="21"/>
      <w:szCs w:val="21"/>
      <w:shd w:val="clear"/>
    </w:rPr>
  </w:style>
  <w:style w:type="paragraph" w:styleId="22">
    <w:name w:val="toc 9"/>
    <w:next w:val="1"/>
    <w:unhideWhenUsed/>
    <w:qFormat/>
    <w:uiPriority w:val="36"/>
    <w:pPr>
      <w:widowControl/>
      <w:wordWrap/>
      <w:autoSpaceDE/>
      <w:autoSpaceDN/>
      <w:ind w:left="3400" w:firstLine="0"/>
      <w:jc w:val="both"/>
    </w:pPr>
    <w:rPr>
      <w:rFonts w:ascii="Calibri" w:hAnsi="Calibri" w:eastAsia="宋体" w:cstheme="minorBidi"/>
      <w:w w:val="100"/>
      <w:sz w:val="21"/>
      <w:szCs w:val="21"/>
      <w:shd w:val="clear"/>
    </w:rPr>
  </w:style>
  <w:style w:type="paragraph" w:styleId="23">
    <w:name w:val="Title"/>
    <w:qFormat/>
    <w:uiPriority w:val="6"/>
    <w:pPr>
      <w:widowControl/>
      <w:wordWrap/>
      <w:autoSpaceDE/>
      <w:autoSpaceDN/>
      <w:jc w:val="center"/>
    </w:pPr>
    <w:rPr>
      <w:rFonts w:ascii="Calibri" w:hAnsi="Calibri" w:eastAsia="宋体" w:cstheme="minorBidi"/>
      <w:b/>
      <w:w w:val="100"/>
      <w:sz w:val="32"/>
      <w:szCs w:val="32"/>
      <w:shd w:val="clear"/>
    </w:rPr>
  </w:style>
  <w:style w:type="character" w:styleId="26">
    <w:name w:val="Strong"/>
    <w:qFormat/>
    <w:uiPriority w:val="20"/>
    <w:rPr>
      <w:b/>
      <w:w w:val="100"/>
      <w:sz w:val="21"/>
      <w:szCs w:val="21"/>
      <w:shd w:val="clear"/>
    </w:rPr>
  </w:style>
  <w:style w:type="character" w:styleId="27">
    <w:name w:val="page number"/>
    <w:basedOn w:val="25"/>
    <w:qFormat/>
    <w:uiPriority w:val="156"/>
  </w:style>
  <w:style w:type="character" w:styleId="28">
    <w:name w:val="Emphasis"/>
    <w:qFormat/>
    <w:uiPriority w:val="18"/>
    <w:rPr>
      <w:i/>
      <w:w w:val="100"/>
      <w:sz w:val="21"/>
      <w:szCs w:val="21"/>
      <w:shd w:val="clear"/>
    </w:rPr>
  </w:style>
  <w:style w:type="paragraph" w:styleId="29">
    <w:name w:val="No Spacing"/>
    <w:qFormat/>
    <w:uiPriority w:val="5"/>
    <w:pPr>
      <w:widowControl/>
      <w:wordWrap/>
      <w:autoSpaceDE/>
      <w:autoSpaceDN/>
      <w:jc w:val="both"/>
    </w:pPr>
    <w:rPr>
      <w:rFonts w:ascii="Calibri" w:hAnsi="Calibri" w:eastAsia="宋体" w:cstheme="minorBidi"/>
      <w:w w:val="100"/>
      <w:sz w:val="21"/>
      <w:szCs w:val="21"/>
      <w:shd w:val="clear"/>
    </w:rPr>
  </w:style>
  <w:style w:type="character" w:customStyle="1" w:styleId="30">
    <w:name w:val="Subtle Emphasis"/>
    <w:qFormat/>
    <w:uiPriority w:val="17"/>
    <w:rPr>
      <w:i/>
      <w:color w:val="404040"/>
      <w:w w:val="100"/>
      <w:sz w:val="21"/>
      <w:szCs w:val="21"/>
      <w:shd w:val="clear"/>
    </w:rPr>
  </w:style>
  <w:style w:type="character" w:customStyle="1" w:styleId="31">
    <w:name w:val="Intense Emphasis"/>
    <w:qFormat/>
    <w:uiPriority w:val="19"/>
    <w:rPr>
      <w:i/>
      <w:color w:val="5B9BD5"/>
      <w:w w:val="100"/>
      <w:sz w:val="21"/>
      <w:szCs w:val="21"/>
      <w:shd w:val="clear"/>
    </w:rPr>
  </w:style>
  <w:style w:type="paragraph" w:styleId="32">
    <w:name w:val="Quote"/>
    <w:qFormat/>
    <w:uiPriority w:val="21"/>
    <w:pPr>
      <w:widowControl/>
      <w:wordWrap/>
      <w:autoSpaceDE/>
      <w:autoSpaceDN/>
      <w:ind w:left="864" w:right="864" w:firstLine="0"/>
      <w:jc w:val="center"/>
    </w:pPr>
    <w:rPr>
      <w:rFonts w:ascii="Calibri" w:hAnsi="Calibri" w:eastAsia="宋体" w:cstheme="minorBidi"/>
      <w:i/>
      <w:color w:val="404040"/>
      <w:w w:val="100"/>
      <w:sz w:val="21"/>
      <w:szCs w:val="21"/>
      <w:shd w:val="clear"/>
    </w:rPr>
  </w:style>
  <w:style w:type="paragraph" w:styleId="33">
    <w:name w:val="Intense Quote"/>
    <w:qFormat/>
    <w:uiPriority w:val="22"/>
    <w:pPr>
      <w:widowControl/>
      <w:wordWrap/>
      <w:autoSpaceDE/>
      <w:autoSpaceDN/>
      <w:ind w:left="950" w:right="950" w:firstLine="0"/>
      <w:jc w:val="center"/>
    </w:pPr>
    <w:rPr>
      <w:rFonts w:ascii="Calibri" w:hAnsi="Calibri" w:eastAsia="宋体" w:cstheme="minorBidi"/>
      <w:i/>
      <w:color w:val="5B9BD5"/>
      <w:w w:val="100"/>
      <w:sz w:val="21"/>
      <w:szCs w:val="21"/>
      <w:shd w:val="clear"/>
    </w:rPr>
  </w:style>
  <w:style w:type="character" w:customStyle="1" w:styleId="34">
    <w:name w:val="Subtle Reference"/>
    <w:qFormat/>
    <w:uiPriority w:val="23"/>
    <w:rPr>
      <w:smallCaps/>
      <w:color w:val="5A5A5A"/>
      <w:w w:val="100"/>
      <w:sz w:val="21"/>
      <w:szCs w:val="21"/>
      <w:shd w:val="clear"/>
    </w:rPr>
  </w:style>
  <w:style w:type="character" w:customStyle="1" w:styleId="35">
    <w:name w:val="Intense Reference"/>
    <w:qFormat/>
    <w:uiPriority w:val="24"/>
    <w:rPr>
      <w:b/>
      <w:smallCaps/>
      <w:color w:val="5B9BD5"/>
      <w:w w:val="100"/>
      <w:sz w:val="21"/>
      <w:szCs w:val="21"/>
      <w:shd w:val="clear"/>
    </w:rPr>
  </w:style>
  <w:style w:type="character" w:customStyle="1" w:styleId="36">
    <w:name w:val="Book Title"/>
    <w:qFormat/>
    <w:uiPriority w:val="25"/>
    <w:rPr>
      <w:b/>
      <w:i/>
      <w:w w:val="100"/>
      <w:sz w:val="21"/>
      <w:szCs w:val="21"/>
      <w:shd w:val="clear"/>
    </w:rPr>
  </w:style>
  <w:style w:type="paragraph" w:styleId="37">
    <w:name w:val="List Paragraph"/>
    <w:qFormat/>
    <w:uiPriority w:val="26"/>
    <w:pPr>
      <w:widowControl/>
      <w:wordWrap/>
      <w:autoSpaceDE/>
      <w:autoSpaceDN/>
      <w:ind w:left="850" w:firstLine="0"/>
      <w:jc w:val="both"/>
    </w:pPr>
    <w:rPr>
      <w:rFonts w:ascii="Calibri" w:hAnsi="Calibri" w:eastAsia="宋体" w:cstheme="minorBidi"/>
      <w:w w:val="100"/>
      <w:sz w:val="21"/>
      <w:szCs w:val="21"/>
      <w:shd w:val="clear"/>
    </w:rPr>
  </w:style>
  <w:style w:type="paragraph" w:customStyle="1" w:styleId="38">
    <w:name w:val="TOC Heading"/>
    <w:unhideWhenUsed/>
    <w:qFormat/>
    <w:uiPriority w:val="27"/>
    <w:pPr>
      <w:widowControl/>
      <w:wordWrap/>
      <w:autoSpaceDE/>
      <w:autoSpaceDN/>
    </w:pPr>
    <w:rPr>
      <w:rFonts w:ascii="Calibri" w:hAnsi="Calibri" w:eastAsia="宋体" w:cstheme="minorBidi"/>
      <w:color w:val="2E74B5"/>
      <w:w w:val="100"/>
      <w:sz w:val="32"/>
      <w:szCs w:val="32"/>
      <w:shd w:val="clear"/>
    </w:rPr>
  </w:style>
  <w:style w:type="character" w:customStyle="1" w:styleId="39">
    <w:name w:val="页眉 Char"/>
    <w:basedOn w:val="25"/>
    <w:link w:val="16"/>
    <w:qFormat/>
    <w:uiPriority w:val="153"/>
    <w:rPr>
      <w:rFonts w:ascii="Times New Roman" w:hAnsi="Times New Roman" w:eastAsia="Times New Roman"/>
      <w:w w:val="100"/>
      <w:sz w:val="18"/>
      <w:szCs w:val="18"/>
      <w:shd w:val="clear"/>
    </w:rPr>
  </w:style>
  <w:style w:type="character" w:customStyle="1" w:styleId="40">
    <w:name w:val="页脚 Char"/>
    <w:basedOn w:val="25"/>
    <w:link w:val="15"/>
    <w:qFormat/>
    <w:uiPriority w:val="155"/>
    <w:rPr>
      <w:rFonts w:ascii="Times New Roman" w:hAnsi="Times New Roman" w:eastAsia="Times New Roman"/>
      <w:w w:val="100"/>
      <w:sz w:val="18"/>
      <w:szCs w:val="18"/>
      <w:shd w:val="cle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7</Pages>
  <Words>616</Words>
  <Characters>4121</Characters>
  <Lines>29</Lines>
  <Paragraphs>8</Paragraphs>
  <TotalTime>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2018-09-07T02:20:00Z</dcterms:created>
  <dc:creator>微软用户</dc:creator>
  <cp:lastModifiedBy>穆色倾城</cp:lastModifiedBy>
  <cp:lastPrinted>2018-09-07T02:32:00Z</cp:lastPrinted>
  <dcterms:modified xsi:type="dcterms:W3CDTF">2022-04-24T03:24:53Z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